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29" w:rsidRDefault="002E6829" w:rsidP="009836AE">
      <w:pPr>
        <w:rPr>
          <w:b/>
          <w:bCs/>
        </w:rPr>
      </w:pPr>
    </w:p>
    <w:p w:rsidR="00CE3A02" w:rsidRPr="00A37A62" w:rsidRDefault="00CE3A02" w:rsidP="009836AE">
      <w:pPr>
        <w:rPr>
          <w:b/>
          <w:bCs/>
        </w:rPr>
      </w:pPr>
      <w:r w:rsidRPr="00A37A62">
        <w:rPr>
          <w:b/>
          <w:bCs/>
        </w:rPr>
        <w:t>First Year Course Coordinators</w:t>
      </w:r>
    </w:p>
    <w:p w:rsidR="00CE3A02" w:rsidRDefault="00CE3A02" w:rsidP="009836AE">
      <w:pPr>
        <w:rPr>
          <w:bCs/>
        </w:rPr>
      </w:pPr>
      <w:r w:rsidRPr="00A37A62">
        <w:rPr>
          <w:bCs/>
        </w:rPr>
        <w:t>The Department of Mathematics welcomed new staff members who have assumed coordination duties for some of the largest courses in the undergraduate program. These individuals along with some of the others who have done this before worked hard to enable a smooth start to the semester, adjusting schedules, classrooms and demands in order to utilize the limited resources. Thanks to:</w:t>
      </w:r>
    </w:p>
    <w:p w:rsidR="006031FD" w:rsidRPr="00A37A62" w:rsidRDefault="006031FD" w:rsidP="006031FD">
      <w:pPr>
        <w:rPr>
          <w:bCs/>
        </w:rPr>
      </w:pPr>
      <w:r w:rsidRPr="00A37A62">
        <w:rPr>
          <w:bCs/>
        </w:rPr>
        <w:t>Abe Igelfeld – MAT133Y1</w:t>
      </w:r>
      <w:r>
        <w:rPr>
          <w:bCs/>
        </w:rPr>
        <w:t>Y</w:t>
      </w:r>
      <w:r w:rsidRPr="00A37A62">
        <w:rPr>
          <w:bCs/>
        </w:rPr>
        <w:t xml:space="preserve"> </w:t>
      </w:r>
      <w:r w:rsidRPr="00A37A62">
        <w:rPr>
          <w:bCs/>
        </w:rPr>
        <w:tab/>
      </w:r>
      <w:r w:rsidRPr="00A37A62">
        <w:rPr>
          <w:bCs/>
        </w:rPr>
        <w:tab/>
        <w:t xml:space="preserve"> </w:t>
      </w:r>
      <w:r w:rsidRPr="00A37A62">
        <w:rPr>
          <w:bCs/>
        </w:rPr>
        <w:tab/>
      </w:r>
      <w:r w:rsidRPr="00A37A62">
        <w:rPr>
          <w:bCs/>
        </w:rPr>
        <w:tab/>
        <w:t>906</w:t>
      </w:r>
    </w:p>
    <w:p w:rsidR="006031FD" w:rsidRPr="00A37A62" w:rsidRDefault="006031FD" w:rsidP="006031FD">
      <w:pPr>
        <w:rPr>
          <w:bCs/>
        </w:rPr>
      </w:pPr>
      <w:r w:rsidRPr="00A37A62">
        <w:rPr>
          <w:bCs/>
        </w:rPr>
        <w:t>Sarah Mayes-Tang  - MAT135H1</w:t>
      </w:r>
      <w:r>
        <w:rPr>
          <w:bCs/>
        </w:rPr>
        <w:t>F</w:t>
      </w:r>
      <w:r w:rsidRPr="00A37A62">
        <w:rPr>
          <w:bCs/>
        </w:rPr>
        <w:tab/>
      </w:r>
      <w:r w:rsidRPr="00A37A62">
        <w:rPr>
          <w:bCs/>
        </w:rPr>
        <w:tab/>
      </w:r>
      <w:r w:rsidRPr="00A37A62">
        <w:rPr>
          <w:bCs/>
        </w:rPr>
        <w:tab/>
        <w:t>2605</w:t>
      </w:r>
    </w:p>
    <w:p w:rsidR="006031FD" w:rsidRPr="00A37A62" w:rsidRDefault="006031FD" w:rsidP="006031FD">
      <w:pPr>
        <w:rPr>
          <w:bCs/>
        </w:rPr>
      </w:pPr>
      <w:r w:rsidRPr="00A37A62">
        <w:rPr>
          <w:bCs/>
        </w:rPr>
        <w:t>Alfonso Gracia-Saz- MAT137Y1</w:t>
      </w:r>
      <w:r>
        <w:rPr>
          <w:bCs/>
        </w:rPr>
        <w:t>Y</w:t>
      </w:r>
      <w:r w:rsidRPr="00A37A62">
        <w:rPr>
          <w:bCs/>
        </w:rPr>
        <w:tab/>
        <w:t xml:space="preserve"> </w:t>
      </w:r>
      <w:r w:rsidRPr="00A37A62">
        <w:rPr>
          <w:bCs/>
        </w:rPr>
        <w:tab/>
      </w:r>
      <w:r w:rsidRPr="00A37A62">
        <w:rPr>
          <w:bCs/>
        </w:rPr>
        <w:tab/>
        <w:t>1258</w:t>
      </w:r>
    </w:p>
    <w:p w:rsidR="006031FD" w:rsidRPr="00A37A62" w:rsidRDefault="006031FD" w:rsidP="006031FD">
      <w:pPr>
        <w:rPr>
          <w:bCs/>
        </w:rPr>
      </w:pPr>
      <w:r w:rsidRPr="00A37A62">
        <w:rPr>
          <w:bCs/>
        </w:rPr>
        <w:t>Joe Repka - MAT157Y1</w:t>
      </w:r>
      <w:r>
        <w:rPr>
          <w:bCs/>
        </w:rPr>
        <w:t>Y</w:t>
      </w:r>
      <w:r w:rsidRPr="00A37A62">
        <w:rPr>
          <w:bCs/>
        </w:rPr>
        <w:t xml:space="preserve"> </w:t>
      </w:r>
      <w:r w:rsidRPr="00A37A62">
        <w:rPr>
          <w:bCs/>
        </w:rPr>
        <w:tab/>
      </w:r>
      <w:r w:rsidRPr="00A37A62">
        <w:rPr>
          <w:bCs/>
        </w:rPr>
        <w:tab/>
      </w:r>
      <w:r w:rsidRPr="00A37A62">
        <w:rPr>
          <w:bCs/>
        </w:rPr>
        <w:tab/>
      </w:r>
      <w:r w:rsidRPr="00A37A62">
        <w:rPr>
          <w:bCs/>
        </w:rPr>
        <w:tab/>
        <w:t>186</w:t>
      </w:r>
    </w:p>
    <w:p w:rsidR="006031FD" w:rsidRPr="00A37A62" w:rsidRDefault="006031FD" w:rsidP="006031FD">
      <w:pPr>
        <w:rPr>
          <w:bCs/>
        </w:rPr>
      </w:pPr>
      <w:r w:rsidRPr="00A37A62">
        <w:rPr>
          <w:bCs/>
        </w:rPr>
        <w:t>Nicholas Hoell – MAT223H1</w:t>
      </w:r>
      <w:r>
        <w:rPr>
          <w:bCs/>
        </w:rPr>
        <w:t>F</w:t>
      </w:r>
      <w:r w:rsidRPr="00A37A62">
        <w:rPr>
          <w:bCs/>
        </w:rPr>
        <w:t xml:space="preserve"> </w:t>
      </w:r>
      <w:r w:rsidRPr="00A37A62">
        <w:rPr>
          <w:bCs/>
        </w:rPr>
        <w:tab/>
        <w:t xml:space="preserve"> </w:t>
      </w:r>
      <w:r w:rsidRPr="00A37A62">
        <w:rPr>
          <w:bCs/>
        </w:rPr>
        <w:tab/>
      </w:r>
      <w:r w:rsidRPr="00A37A62">
        <w:rPr>
          <w:bCs/>
        </w:rPr>
        <w:tab/>
        <w:t>1483</w:t>
      </w:r>
    </w:p>
    <w:p w:rsidR="006031FD" w:rsidRPr="00A37A62" w:rsidRDefault="006031FD" w:rsidP="006031FD">
      <w:pPr>
        <w:rPr>
          <w:bCs/>
        </w:rPr>
      </w:pPr>
      <w:r w:rsidRPr="00A37A62">
        <w:rPr>
          <w:bCs/>
        </w:rPr>
        <w:t>Eckhard Meinrenken – MAT240H1</w:t>
      </w:r>
      <w:r>
        <w:rPr>
          <w:bCs/>
        </w:rPr>
        <w:t>F</w:t>
      </w:r>
      <w:r w:rsidRPr="00A37A62">
        <w:rPr>
          <w:bCs/>
        </w:rPr>
        <w:t xml:space="preserve">  </w:t>
      </w:r>
      <w:r w:rsidRPr="00A37A62">
        <w:rPr>
          <w:bCs/>
        </w:rPr>
        <w:tab/>
      </w:r>
      <w:r w:rsidRPr="00A37A62">
        <w:rPr>
          <w:bCs/>
        </w:rPr>
        <w:tab/>
        <w:t>191</w:t>
      </w:r>
    </w:p>
    <w:p w:rsidR="006031FD" w:rsidRPr="00A37A62" w:rsidRDefault="006031FD" w:rsidP="006031FD">
      <w:pPr>
        <w:rPr>
          <w:b/>
          <w:bCs/>
        </w:rPr>
      </w:pPr>
      <w:r w:rsidRPr="00A37A62">
        <w:rPr>
          <w:b/>
          <w:bCs/>
        </w:rPr>
        <w:t xml:space="preserve">Large second term </w:t>
      </w:r>
      <w:r>
        <w:rPr>
          <w:b/>
          <w:bCs/>
        </w:rPr>
        <w:t xml:space="preserve">first-year </w:t>
      </w:r>
      <w:r w:rsidRPr="00A37A62">
        <w:rPr>
          <w:b/>
          <w:bCs/>
        </w:rPr>
        <w:t>courses:</w:t>
      </w:r>
    </w:p>
    <w:p w:rsidR="006031FD" w:rsidRPr="00A37A62" w:rsidRDefault="006031FD" w:rsidP="006031FD">
      <w:pPr>
        <w:rPr>
          <w:bCs/>
        </w:rPr>
      </w:pPr>
      <w:r w:rsidRPr="00A37A62">
        <w:rPr>
          <w:bCs/>
        </w:rPr>
        <w:t>Nicholas Hoell – MAT223H1</w:t>
      </w:r>
      <w:r w:rsidRPr="00A37A62">
        <w:rPr>
          <w:bCs/>
        </w:rPr>
        <w:tab/>
      </w:r>
      <w:r>
        <w:rPr>
          <w:bCs/>
        </w:rPr>
        <w:t>S</w:t>
      </w:r>
      <w:r w:rsidRPr="00A37A62">
        <w:rPr>
          <w:bCs/>
        </w:rPr>
        <w:tab/>
        <w:t xml:space="preserve"> </w:t>
      </w:r>
      <w:r w:rsidRPr="00A37A62">
        <w:rPr>
          <w:bCs/>
        </w:rPr>
        <w:tab/>
      </w:r>
      <w:r w:rsidRPr="00A37A62">
        <w:rPr>
          <w:bCs/>
        </w:rPr>
        <w:tab/>
        <w:t>735</w:t>
      </w:r>
    </w:p>
    <w:p w:rsidR="006031FD" w:rsidRPr="00A37A62" w:rsidRDefault="006031FD" w:rsidP="006031FD">
      <w:pPr>
        <w:rPr>
          <w:bCs/>
        </w:rPr>
      </w:pPr>
      <w:r w:rsidRPr="00A37A62">
        <w:rPr>
          <w:bCs/>
        </w:rPr>
        <w:t>Jason Siefken – MAT224H1</w:t>
      </w:r>
      <w:r>
        <w:rPr>
          <w:bCs/>
        </w:rPr>
        <w:t>S</w:t>
      </w:r>
      <w:r w:rsidRPr="00A37A62">
        <w:rPr>
          <w:bCs/>
        </w:rPr>
        <w:tab/>
        <w:t xml:space="preserve"> </w:t>
      </w:r>
      <w:r w:rsidRPr="00A37A62">
        <w:rPr>
          <w:bCs/>
        </w:rPr>
        <w:tab/>
      </w:r>
      <w:r w:rsidRPr="00A37A62">
        <w:rPr>
          <w:bCs/>
        </w:rPr>
        <w:tab/>
        <w:t>910</w:t>
      </w:r>
    </w:p>
    <w:p w:rsidR="006031FD" w:rsidRPr="00A37A62" w:rsidRDefault="006031FD" w:rsidP="006031FD">
      <w:pPr>
        <w:rPr>
          <w:bCs/>
        </w:rPr>
      </w:pPr>
      <w:r w:rsidRPr="00A37A62">
        <w:rPr>
          <w:bCs/>
        </w:rPr>
        <w:t>Steve Kudla – MAT247H1</w:t>
      </w:r>
      <w:r>
        <w:rPr>
          <w:bCs/>
        </w:rPr>
        <w:t>S</w:t>
      </w:r>
      <w:r w:rsidRPr="00A37A62">
        <w:rPr>
          <w:bCs/>
        </w:rPr>
        <w:tab/>
      </w:r>
      <w:r w:rsidRPr="00A37A62">
        <w:rPr>
          <w:bCs/>
        </w:rPr>
        <w:tab/>
        <w:t xml:space="preserve"> </w:t>
      </w:r>
      <w:r w:rsidRPr="00A37A62">
        <w:rPr>
          <w:bCs/>
        </w:rPr>
        <w:tab/>
      </w:r>
      <w:r w:rsidRPr="00A37A62">
        <w:rPr>
          <w:bCs/>
        </w:rPr>
        <w:tab/>
        <w:t>200</w:t>
      </w:r>
    </w:p>
    <w:p w:rsidR="006031FD" w:rsidRDefault="006031FD">
      <w:pPr>
        <w:suppressAutoHyphens w:val="0"/>
        <w:rPr>
          <w:b/>
          <w:bCs/>
        </w:rPr>
      </w:pPr>
    </w:p>
    <w:p w:rsidR="00821B9D" w:rsidRPr="00A37A62" w:rsidRDefault="00821B9D">
      <w:pPr>
        <w:suppressAutoHyphens w:val="0"/>
        <w:rPr>
          <w:b/>
          <w:bCs/>
        </w:rPr>
      </w:pPr>
      <w:r w:rsidRPr="00A37A62">
        <w:rPr>
          <w:b/>
          <w:bCs/>
        </w:rPr>
        <w:t>More Data On the Teaching</w:t>
      </w:r>
    </w:p>
    <w:p w:rsidR="001960A8" w:rsidRDefault="00821B9D">
      <w:pPr>
        <w:suppressAutoHyphens w:val="0"/>
        <w:rPr>
          <w:bCs/>
        </w:rPr>
      </w:pPr>
      <w:r w:rsidRPr="00A37A62">
        <w:rPr>
          <w:bCs/>
        </w:rPr>
        <w:t xml:space="preserve">There are 158 lecture sections for 2017-2018 Faculty of Arts and Science courses, including four first year seminar courses and </w:t>
      </w:r>
      <w:r w:rsidR="008846E3" w:rsidRPr="00A37A62">
        <w:rPr>
          <w:bCs/>
        </w:rPr>
        <w:t>48</w:t>
      </w:r>
      <w:r w:rsidRPr="00A37A62">
        <w:rPr>
          <w:bCs/>
        </w:rPr>
        <w:t xml:space="preserve"> lecture sections of Engineering courses. </w:t>
      </w:r>
    </w:p>
    <w:p w:rsidR="002E6829" w:rsidRPr="00A37A62" w:rsidRDefault="002E6829">
      <w:pPr>
        <w:suppressAutoHyphens w:val="0"/>
        <w:rPr>
          <w:bCs/>
        </w:rPr>
      </w:pPr>
    </w:p>
    <w:p w:rsidR="00821B9D" w:rsidRDefault="00761638">
      <w:pPr>
        <w:suppressAutoHyphens w:val="0"/>
        <w:rPr>
          <w:b/>
          <w:bCs/>
        </w:rPr>
      </w:pPr>
      <w:r w:rsidRPr="00761638">
        <w:rPr>
          <w:noProof/>
          <w:lang w:val="en-US" w:eastAsia="en-US"/>
        </w:rPr>
        <w:drawing>
          <wp:inline distT="0" distB="0" distL="0" distR="0">
            <wp:extent cx="4616635" cy="48271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792" cy="4860806"/>
                    </a:xfrm>
                    <a:prstGeom prst="rect">
                      <a:avLst/>
                    </a:prstGeom>
                    <a:noFill/>
                    <a:ln>
                      <a:noFill/>
                    </a:ln>
                  </pic:spPr>
                </pic:pic>
              </a:graphicData>
            </a:graphic>
          </wp:inline>
        </w:drawing>
      </w:r>
    </w:p>
    <w:p w:rsidR="00761638" w:rsidRPr="002D2275" w:rsidRDefault="002D2275">
      <w:pPr>
        <w:suppressAutoHyphens w:val="0"/>
        <w:rPr>
          <w:bCs/>
        </w:rPr>
      </w:pPr>
      <w:r w:rsidRPr="002D2275">
        <w:rPr>
          <w:bCs/>
        </w:rPr>
        <w:t xml:space="preserve">Summer Lecture Sections </w:t>
      </w:r>
    </w:p>
    <w:p w:rsidR="00A37A62" w:rsidRPr="00A37A62" w:rsidRDefault="006031FD">
      <w:pPr>
        <w:suppressAutoHyphens w:val="0"/>
        <w:rPr>
          <w:b/>
          <w:bCs/>
        </w:rPr>
      </w:pPr>
      <w:r w:rsidRPr="000E5138">
        <w:drawing>
          <wp:inline distT="0" distB="0" distL="0" distR="0" wp14:anchorId="01F27A8C" wp14:editId="4E53F8B1">
            <wp:extent cx="4617720" cy="967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7720" cy="967105"/>
                    </a:xfrm>
                    <a:prstGeom prst="rect">
                      <a:avLst/>
                    </a:prstGeom>
                    <a:noFill/>
                    <a:ln>
                      <a:noFill/>
                    </a:ln>
                  </pic:spPr>
                </pic:pic>
              </a:graphicData>
            </a:graphic>
          </wp:inline>
        </w:drawing>
      </w:r>
    </w:p>
    <w:p w:rsidR="00462C9B" w:rsidRPr="00A37A62" w:rsidRDefault="00462C9B" w:rsidP="009836AE">
      <w:pPr>
        <w:rPr>
          <w:b/>
          <w:bCs/>
        </w:rPr>
      </w:pPr>
      <w:r w:rsidRPr="00A37A62">
        <w:rPr>
          <w:b/>
          <w:bCs/>
        </w:rPr>
        <w:lastRenderedPageBreak/>
        <w:t>Teaching Categories</w:t>
      </w:r>
    </w:p>
    <w:p w:rsidR="00A37A62" w:rsidRPr="00A37A62" w:rsidRDefault="00AB1BB9" w:rsidP="00A37A62">
      <w:pPr>
        <w:rPr>
          <w:bCs/>
        </w:rPr>
      </w:pPr>
      <w:r w:rsidRPr="00A37A62">
        <w:rPr>
          <w:bCs/>
        </w:rPr>
        <w:t xml:space="preserve">Professors account for the largest group of instructors. </w:t>
      </w:r>
    </w:p>
    <w:p w:rsidR="00A37A62" w:rsidRPr="00A37A62" w:rsidRDefault="00A37A62"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Professors:</w:t>
      </w:r>
      <w:r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t>37</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Retired Professors:</w:t>
      </w:r>
      <w:r w:rsidR="00A37A62" w:rsidRPr="00A37A62">
        <w:rPr>
          <w:rFonts w:ascii="Times New Roman" w:hAnsi="Times New Roman" w:cs="Times New Roman"/>
          <w:sz w:val="24"/>
          <w:szCs w:val="24"/>
        </w:rPr>
        <w:tab/>
      </w:r>
      <w:r w:rsidR="00A37A62"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2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Lecturers: </w:t>
      </w:r>
      <w:r w:rsidR="00A37A62"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7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Graduate Students: </w:t>
      </w:r>
      <w:r w:rsidR="00A37A62" w:rsidRPr="00A37A62">
        <w:rPr>
          <w:rFonts w:ascii="Times New Roman" w:hAnsi="Times New Roman" w:cs="Times New Roman"/>
          <w:sz w:val="24"/>
          <w:szCs w:val="24"/>
        </w:rPr>
        <w:tab/>
      </w:r>
      <w:r w:rsidR="00A37A62"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31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Postdoctoral Fellows: </w:t>
      </w:r>
      <w:r w:rsidR="00A37A62">
        <w:rPr>
          <w:rFonts w:ascii="Times New Roman" w:hAnsi="Times New Roman" w:cs="Times New Roman"/>
          <w:sz w:val="24"/>
          <w:szCs w:val="24"/>
        </w:rPr>
        <w:tab/>
      </w:r>
      <w:r w:rsidR="00A37A62">
        <w:rPr>
          <w:rFonts w:ascii="Times New Roman" w:hAnsi="Times New Roman" w:cs="Times New Roman"/>
          <w:sz w:val="24"/>
          <w:szCs w:val="24"/>
        </w:rPr>
        <w:tab/>
      </w:r>
      <w:r w:rsidRPr="00A37A62">
        <w:rPr>
          <w:rFonts w:ascii="Times New Roman" w:hAnsi="Times New Roman" w:cs="Times New Roman"/>
          <w:sz w:val="24"/>
          <w:szCs w:val="24"/>
        </w:rPr>
        <w:tab/>
        <w:t>23</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Unit 3 &amp; Cox: </w:t>
      </w:r>
      <w:r w:rsid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3 </w:t>
      </w:r>
    </w:p>
    <w:p w:rsidR="00462C9B" w:rsidRPr="00A37A62" w:rsidRDefault="00462C9B" w:rsidP="009836AE">
      <w:pPr>
        <w:rPr>
          <w:b/>
          <w:bCs/>
        </w:rPr>
      </w:pPr>
    </w:p>
    <w:p w:rsidR="00676952" w:rsidRPr="00A37A62" w:rsidRDefault="00676952" w:rsidP="009836AE">
      <w:pPr>
        <w:rPr>
          <w:bCs/>
        </w:rPr>
      </w:pPr>
    </w:p>
    <w:p w:rsidR="00676952" w:rsidRPr="00A37A62" w:rsidRDefault="00A37A62" w:rsidP="009836AE">
      <w:pPr>
        <w:rPr>
          <w:b/>
          <w:bCs/>
        </w:rPr>
      </w:pPr>
      <w:r>
        <w:rPr>
          <w:b/>
          <w:bCs/>
          <w:noProof/>
          <w:lang w:val="en-US" w:eastAsia="en-US"/>
        </w:rPr>
        <w:drawing>
          <wp:inline distT="0" distB="0" distL="0" distR="0" wp14:anchorId="32B0ECC2">
            <wp:extent cx="4423144" cy="376336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6078" cy="3782875"/>
                    </a:xfrm>
                    <a:prstGeom prst="rect">
                      <a:avLst/>
                    </a:prstGeom>
                    <a:noFill/>
                  </pic:spPr>
                </pic:pic>
              </a:graphicData>
            </a:graphic>
          </wp:inline>
        </w:drawing>
      </w:r>
    </w:p>
    <w:p w:rsidR="002E6829" w:rsidRDefault="002E6829" w:rsidP="009836AE">
      <w:pPr>
        <w:rPr>
          <w:b/>
          <w:bCs/>
        </w:rPr>
      </w:pPr>
    </w:p>
    <w:p w:rsidR="003971EE" w:rsidRPr="00A37A62" w:rsidRDefault="003971EE" w:rsidP="003971EE">
      <w:pPr>
        <w:rPr>
          <w:b/>
          <w:bCs/>
        </w:rPr>
      </w:pPr>
      <w:r w:rsidRPr="00A37A62">
        <w:rPr>
          <w:b/>
          <w:bCs/>
        </w:rPr>
        <w:lastRenderedPageBreak/>
        <w:t>Program Enrolment</w:t>
      </w:r>
    </w:p>
    <w:p w:rsidR="003971EE" w:rsidRPr="00A37A62" w:rsidRDefault="003971EE" w:rsidP="003971EE">
      <w:r w:rsidRPr="00A37A62">
        <w:t xml:space="preserve">This year the Department of Mathematics is the second largest department in terms of </w:t>
      </w:r>
      <w:r>
        <w:t>students who are doing a specialist, major or minor</w:t>
      </w:r>
      <w:r w:rsidRPr="00A37A62">
        <w:t xml:space="preserve"> with 3153 students registered students. The Statistics Department </w:t>
      </w:r>
      <w:r>
        <w:t>moved into first place this year</w:t>
      </w:r>
      <w:r w:rsidRPr="00A37A62">
        <w:t xml:space="preserve"> with a grand total of 3937.</w:t>
      </w:r>
    </w:p>
    <w:p w:rsidR="003971EE" w:rsidRPr="00A37A62" w:rsidRDefault="003971EE" w:rsidP="003971EE">
      <w:r w:rsidRPr="00A37A62">
        <w:t>How do our numbers compare with some of the other science departments?</w:t>
      </w:r>
    </w:p>
    <w:p w:rsidR="003971EE" w:rsidRPr="00A37A62" w:rsidRDefault="003971EE" w:rsidP="003971EE">
      <w:pPr>
        <w:pStyle w:val="ListParagraph"/>
        <w:numPr>
          <w:ilvl w:val="0"/>
          <w:numId w:val="1"/>
        </w:numPr>
      </w:pPr>
      <w:r w:rsidRPr="00A37A62">
        <w:t xml:space="preserve">Human </w:t>
      </w:r>
      <w:r>
        <w:t xml:space="preserve">Biology </w:t>
      </w:r>
      <w:r>
        <w:tab/>
      </w:r>
      <w:r>
        <w:tab/>
      </w:r>
      <w:r>
        <w:tab/>
      </w:r>
      <w:r w:rsidRPr="00A37A62">
        <w:t>3003</w:t>
      </w:r>
    </w:p>
    <w:p w:rsidR="003971EE" w:rsidRPr="00A37A62" w:rsidRDefault="003971EE" w:rsidP="003971EE">
      <w:pPr>
        <w:pStyle w:val="ListParagraph"/>
        <w:numPr>
          <w:ilvl w:val="0"/>
          <w:numId w:val="1"/>
        </w:numPr>
      </w:pPr>
      <w:r w:rsidRPr="00A37A62">
        <w:t xml:space="preserve">Commerce </w:t>
      </w:r>
      <w:r>
        <w:tab/>
      </w:r>
      <w:r>
        <w:tab/>
      </w:r>
      <w:r>
        <w:tab/>
      </w:r>
      <w:r>
        <w:tab/>
      </w:r>
      <w:r w:rsidRPr="00A37A62">
        <w:t>2027</w:t>
      </w:r>
    </w:p>
    <w:p w:rsidR="003971EE" w:rsidRPr="00A37A62" w:rsidRDefault="003971EE" w:rsidP="003971EE">
      <w:pPr>
        <w:pStyle w:val="ListParagraph"/>
        <w:numPr>
          <w:ilvl w:val="0"/>
          <w:numId w:val="1"/>
        </w:numPr>
      </w:pPr>
      <w:r w:rsidRPr="00A37A62">
        <w:t xml:space="preserve">Computer Science </w:t>
      </w:r>
      <w:r>
        <w:tab/>
      </w:r>
      <w:r>
        <w:tab/>
      </w:r>
      <w:r>
        <w:tab/>
      </w:r>
      <w:r w:rsidRPr="00A37A62">
        <w:t>2383</w:t>
      </w:r>
    </w:p>
    <w:p w:rsidR="003971EE" w:rsidRPr="00A37A62" w:rsidRDefault="003971EE" w:rsidP="003971EE">
      <w:pPr>
        <w:pStyle w:val="ListParagraph"/>
        <w:numPr>
          <w:ilvl w:val="0"/>
          <w:numId w:val="1"/>
        </w:numPr>
      </w:pPr>
      <w:r w:rsidRPr="00A37A62">
        <w:t xml:space="preserve">Economics </w:t>
      </w:r>
      <w:r>
        <w:tab/>
      </w:r>
      <w:r>
        <w:tab/>
      </w:r>
      <w:r>
        <w:tab/>
      </w:r>
      <w:r>
        <w:tab/>
      </w:r>
      <w:r w:rsidRPr="00A37A62">
        <w:t>1981</w:t>
      </w:r>
    </w:p>
    <w:p w:rsidR="003971EE" w:rsidRPr="00A37A62" w:rsidRDefault="003971EE" w:rsidP="003971EE">
      <w:pPr>
        <w:pStyle w:val="ListParagraph"/>
        <w:numPr>
          <w:ilvl w:val="0"/>
          <w:numId w:val="1"/>
        </w:numPr>
      </w:pPr>
      <w:r w:rsidRPr="00A37A62">
        <w:t xml:space="preserve">English </w:t>
      </w:r>
      <w:r>
        <w:tab/>
      </w:r>
      <w:r>
        <w:tab/>
      </w:r>
      <w:r>
        <w:tab/>
      </w:r>
      <w:r>
        <w:tab/>
      </w:r>
      <w:r w:rsidRPr="00A37A62">
        <w:t>1895</w:t>
      </w:r>
    </w:p>
    <w:p w:rsidR="003971EE" w:rsidRDefault="003971EE" w:rsidP="003971EE">
      <w:pPr>
        <w:pStyle w:val="ListParagraph"/>
        <w:numPr>
          <w:ilvl w:val="0"/>
          <w:numId w:val="1"/>
        </w:numPr>
      </w:pPr>
      <w:r w:rsidRPr="00A37A62">
        <w:t>Physics</w:t>
      </w:r>
      <w:r>
        <w:tab/>
      </w:r>
      <w:r>
        <w:tab/>
      </w:r>
      <w:r>
        <w:tab/>
      </w:r>
      <w:r>
        <w:tab/>
      </w:r>
      <w:r w:rsidRPr="00A37A62">
        <w:t>520</w:t>
      </w:r>
    </w:p>
    <w:p w:rsidR="003971EE" w:rsidRDefault="003971EE" w:rsidP="003971EE">
      <w:pPr>
        <w:pStyle w:val="ListParagraph"/>
        <w:numPr>
          <w:ilvl w:val="0"/>
          <w:numId w:val="1"/>
        </w:numPr>
      </w:pPr>
      <w:r w:rsidRPr="00A37A62">
        <w:t xml:space="preserve">Chemistry </w:t>
      </w:r>
      <w:r>
        <w:tab/>
      </w:r>
      <w:r>
        <w:tab/>
      </w:r>
      <w:r>
        <w:tab/>
      </w:r>
      <w:r>
        <w:tab/>
      </w:r>
      <w:r w:rsidRPr="00A37A62">
        <w:t>465</w:t>
      </w:r>
    </w:p>
    <w:p w:rsidR="003971EE" w:rsidRPr="004234D2" w:rsidRDefault="003971EE" w:rsidP="003971EE">
      <w:pPr>
        <w:suppressAutoHyphens w:val="0"/>
        <w:rPr>
          <w:b/>
          <w:lang w:eastAsia="en-US"/>
        </w:rPr>
      </w:pPr>
      <w:r>
        <w:rPr>
          <w:b/>
          <w:lang w:eastAsia="en-US"/>
        </w:rPr>
        <w:t xml:space="preserve">Comparison with </w:t>
      </w:r>
      <w:r w:rsidRPr="004234D2">
        <w:rPr>
          <w:b/>
          <w:lang w:eastAsia="en-US"/>
        </w:rPr>
        <w:t>Last year’s numbers</w:t>
      </w:r>
    </w:p>
    <w:p w:rsidR="003971EE" w:rsidRPr="00A37A62" w:rsidRDefault="003971EE" w:rsidP="003971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A37A62">
        <w:rPr>
          <w:lang w:eastAsia="en-US"/>
        </w:rPr>
        <w:t xml:space="preserve">Growth was experienced by </w:t>
      </w:r>
      <w:r>
        <w:rPr>
          <w:lang w:eastAsia="en-US"/>
        </w:rPr>
        <w:t xml:space="preserve">the quantitative science programs: </w:t>
      </w:r>
      <w:r w:rsidRPr="00A37A62">
        <w:rPr>
          <w:lang w:eastAsia="en-US"/>
        </w:rPr>
        <w:t>Sta</w:t>
      </w:r>
      <w:r>
        <w:rPr>
          <w:lang w:eastAsia="en-US"/>
        </w:rPr>
        <w:t xml:space="preserve">tistics, Math, Computer Science and Commerce. </w:t>
      </w:r>
      <w:r w:rsidRPr="00A37A62">
        <w:rPr>
          <w:lang w:eastAsia="en-US"/>
        </w:rPr>
        <w:t xml:space="preserve">Statistics </w:t>
      </w:r>
      <w:r>
        <w:rPr>
          <w:lang w:eastAsia="en-US"/>
        </w:rPr>
        <w:t xml:space="preserve">grew by 712, they </w:t>
      </w:r>
      <w:r w:rsidRPr="00A37A62">
        <w:rPr>
          <w:lang w:eastAsia="en-US"/>
        </w:rPr>
        <w:t xml:space="preserve">had 3,225 students in their program </w:t>
      </w:r>
      <w:r>
        <w:rPr>
          <w:lang w:eastAsia="en-US"/>
        </w:rPr>
        <w:t>last year, Computer science increased by 212, Math moved up by 296</w:t>
      </w:r>
      <w:r w:rsidRPr="00A37A62">
        <w:rPr>
          <w:lang w:eastAsia="en-US"/>
        </w:rPr>
        <w:t xml:space="preserve"> students</w:t>
      </w:r>
      <w:r>
        <w:rPr>
          <w:lang w:eastAsia="en-US"/>
        </w:rPr>
        <w:t xml:space="preserve"> and </w:t>
      </w:r>
      <w:r w:rsidRPr="00A37A62">
        <w:rPr>
          <w:lang w:eastAsia="en-US"/>
        </w:rPr>
        <w:t xml:space="preserve">Commerce </w:t>
      </w:r>
      <w:r>
        <w:rPr>
          <w:lang w:eastAsia="en-US"/>
        </w:rPr>
        <w:t xml:space="preserve">grew by 73.  There was a reduction in enrolment in Human Biology, Physics, Chemistry and English programs. </w:t>
      </w:r>
      <w:r w:rsidRPr="00A37A62">
        <w:rPr>
          <w:lang w:eastAsia="en-US"/>
        </w:rPr>
        <w:t>Human Biology fell from 3,118 by 115, Physics fell by 19 and Chemistry fell by 15 and English fell by 254</w:t>
      </w:r>
      <w:r>
        <w:rPr>
          <w:lang w:eastAsia="en-US"/>
        </w:rPr>
        <w:t>.</w:t>
      </w:r>
    </w:p>
    <w:p w:rsidR="003971EE" w:rsidRDefault="003971EE" w:rsidP="009836AE">
      <w:pPr>
        <w:rPr>
          <w:b/>
          <w:bCs/>
        </w:rPr>
      </w:pPr>
    </w:p>
    <w:p w:rsidR="003971EE" w:rsidRDefault="003971EE" w:rsidP="009836AE">
      <w:pPr>
        <w:rPr>
          <w:b/>
          <w:bCs/>
        </w:rPr>
      </w:pPr>
    </w:p>
    <w:p w:rsidR="003971EE" w:rsidRDefault="003971EE" w:rsidP="009836AE">
      <w:pPr>
        <w:rPr>
          <w:b/>
          <w:bCs/>
        </w:rPr>
      </w:pPr>
    </w:p>
    <w:p w:rsidR="003971EE" w:rsidRDefault="003971EE" w:rsidP="009836AE">
      <w:pPr>
        <w:rPr>
          <w:b/>
          <w:bCs/>
        </w:rPr>
      </w:pPr>
    </w:p>
    <w:p w:rsidR="003971EE" w:rsidRPr="00A37A62" w:rsidRDefault="003971EE" w:rsidP="009836AE">
      <w:pPr>
        <w:rPr>
          <w:b/>
          <w:bCs/>
        </w:rPr>
      </w:pPr>
    </w:p>
    <w:p w:rsidR="003971EE" w:rsidRDefault="003971EE" w:rsidP="003971EE"/>
    <w:p w:rsidR="003971EE" w:rsidRPr="003971EE" w:rsidRDefault="003971EE" w:rsidP="003971EE">
      <w:pPr>
        <w:spacing w:line="240" w:lineRule="auto"/>
        <w:jc w:val="both"/>
        <w:rPr>
          <w:rFonts w:eastAsia="Times New Roman"/>
          <w:lang w:eastAsia="en-US"/>
        </w:rPr>
      </w:pPr>
      <w:r w:rsidRPr="00A37A62">
        <w:rPr>
          <w:noProof/>
          <w:lang w:val="en-US" w:eastAsia="en-US"/>
        </w:rPr>
        <w:lastRenderedPageBreak/>
        <w:drawing>
          <wp:anchor distT="0" distB="0" distL="114300" distR="114300" simplePos="0" relativeHeight="251671552" behindDoc="1" locked="0" layoutInCell="1" allowOverlap="1" wp14:anchorId="565E750F" wp14:editId="00BDB245">
            <wp:simplePos x="0" y="0"/>
            <wp:positionH relativeFrom="column">
              <wp:align>right</wp:align>
            </wp:positionH>
            <wp:positionV relativeFrom="paragraph">
              <wp:posOffset>333375</wp:posOffset>
            </wp:positionV>
            <wp:extent cx="4507865" cy="2882900"/>
            <wp:effectExtent l="0" t="0" r="6985" b="0"/>
            <wp:wrapTight wrapText="bothSides">
              <wp:wrapPolygon edited="0">
                <wp:start x="0" y="0"/>
                <wp:lineTo x="0" y="21410"/>
                <wp:lineTo x="21542" y="21410"/>
                <wp:lineTo x="215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865" cy="288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A62">
        <w:rPr>
          <w:rFonts w:eastAsia="Times New Roman"/>
          <w:lang w:eastAsia="en-US"/>
        </w:rPr>
        <w:t>How does this year’s program enrolment compare to previous years?</w:t>
      </w:r>
    </w:p>
    <w:p w:rsidR="00F7124E" w:rsidRDefault="00F7124E" w:rsidP="00D870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b/>
          <w:lang w:eastAsia="en-US"/>
        </w:rPr>
      </w:pPr>
    </w:p>
    <w:p w:rsidR="002E6829" w:rsidRDefault="00F7124E" w:rsidP="00F7124E">
      <w:pPr>
        <w:suppressAutoHyphens w:val="0"/>
        <w:rPr>
          <w:b/>
          <w:lang w:eastAsia="en-US"/>
        </w:rPr>
      </w:pPr>
      <w:r w:rsidRPr="00F7124E">
        <w:rPr>
          <w:noProof/>
          <w:lang w:val="en-US" w:eastAsia="en-US"/>
        </w:rPr>
        <w:drawing>
          <wp:inline distT="0" distB="0" distL="0" distR="0" wp14:anchorId="5D08F9CF" wp14:editId="3C647442">
            <wp:extent cx="4525645" cy="323215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508" cy="3254192"/>
                    </a:xfrm>
                    <a:prstGeom prst="rect">
                      <a:avLst/>
                    </a:prstGeom>
                    <a:noFill/>
                    <a:ln>
                      <a:noFill/>
                    </a:ln>
                  </pic:spPr>
                </pic:pic>
              </a:graphicData>
            </a:graphic>
          </wp:inline>
        </w:drawing>
      </w:r>
    </w:p>
    <w:p w:rsidR="003971EE" w:rsidRDefault="003971EE" w:rsidP="009E4825">
      <w:pPr>
        <w:rPr>
          <w:b/>
        </w:rPr>
      </w:pPr>
    </w:p>
    <w:p w:rsidR="009E4825" w:rsidRPr="00A37A62" w:rsidRDefault="009E4825" w:rsidP="009E4825">
      <w:pPr>
        <w:rPr>
          <w:b/>
        </w:rPr>
      </w:pPr>
      <w:r w:rsidRPr="00A37A62">
        <w:rPr>
          <w:b/>
        </w:rPr>
        <w:t>Growth in Math Enrolment</w:t>
      </w:r>
    </w:p>
    <w:p w:rsidR="009E4825" w:rsidRDefault="009E4825" w:rsidP="009E4825">
      <w:r w:rsidRPr="00A37A62">
        <w:t>Ten years ago the department had less than 1000 students registered in programs that amount has more than tripled. Although we continue to grow</w:t>
      </w:r>
      <w:r w:rsidR="00F7124E">
        <w:t>,</w:t>
      </w:r>
      <w:r w:rsidRPr="00A37A62">
        <w:t xml:space="preserve"> the rate of growth has been slowing over the last four sessions</w:t>
      </w:r>
      <w:r w:rsidR="00F7124E">
        <w:t>.</w:t>
      </w:r>
      <w:r w:rsidRPr="00A37A62">
        <w:t xml:space="preserve"> </w:t>
      </w:r>
    </w:p>
    <w:p w:rsidR="009E4825" w:rsidRPr="00A37A62" w:rsidRDefault="00F7124E" w:rsidP="00F7124E">
      <w:pPr>
        <w:pStyle w:val="ListParagraph"/>
        <w:numPr>
          <w:ilvl w:val="0"/>
          <w:numId w:val="14"/>
        </w:numPr>
      </w:pPr>
      <w:r>
        <w:t>F</w:t>
      </w:r>
      <w:r w:rsidR="00E3300F" w:rsidRPr="00A37A62">
        <w:t xml:space="preserve">all 2017 – Growth of </w:t>
      </w:r>
      <w:r w:rsidR="009E4825" w:rsidRPr="00A37A62">
        <w:t>10% over the previous fall session</w:t>
      </w:r>
    </w:p>
    <w:p w:rsidR="00E3300F" w:rsidRPr="00A37A62" w:rsidRDefault="00E3300F" w:rsidP="00E3300F">
      <w:pPr>
        <w:pStyle w:val="ListParagraph"/>
        <w:numPr>
          <w:ilvl w:val="0"/>
          <w:numId w:val="11"/>
        </w:numPr>
      </w:pPr>
      <w:r w:rsidRPr="00A37A62">
        <w:t xml:space="preserve">Fall 2016 – Growth of </w:t>
      </w:r>
      <w:r w:rsidR="009E4825" w:rsidRPr="00A37A62">
        <w:t>12%</w:t>
      </w:r>
      <w:r w:rsidRPr="00A37A62">
        <w:t xml:space="preserve"> over the previous fall session</w:t>
      </w:r>
    </w:p>
    <w:p w:rsidR="00E3300F" w:rsidRPr="00A37A62" w:rsidRDefault="00E3300F" w:rsidP="00E3300F">
      <w:pPr>
        <w:pStyle w:val="ListParagraph"/>
        <w:numPr>
          <w:ilvl w:val="0"/>
          <w:numId w:val="11"/>
        </w:numPr>
      </w:pPr>
      <w:r w:rsidRPr="00A37A62">
        <w:t>Fall 2015 – Growth of</w:t>
      </w:r>
      <w:r w:rsidR="004D23F7" w:rsidRPr="00A37A62">
        <w:t xml:space="preserve"> </w:t>
      </w:r>
      <w:r w:rsidR="009E4825" w:rsidRPr="00A37A62">
        <w:t xml:space="preserve">28% </w:t>
      </w:r>
      <w:r w:rsidRPr="00A37A62">
        <w:t>over the previous fall session</w:t>
      </w:r>
    </w:p>
    <w:p w:rsidR="00E3300F" w:rsidRPr="00A37A62" w:rsidRDefault="00E3300F" w:rsidP="00E3300F">
      <w:pPr>
        <w:pStyle w:val="ListParagraph"/>
        <w:numPr>
          <w:ilvl w:val="0"/>
          <w:numId w:val="11"/>
        </w:numPr>
      </w:pPr>
      <w:r w:rsidRPr="00A37A62">
        <w:t xml:space="preserve">Fall 2014 – Growth </w:t>
      </w:r>
      <w:r w:rsidR="009E4825" w:rsidRPr="00A37A62">
        <w:t>of 34</w:t>
      </w:r>
      <w:r w:rsidRPr="00A37A62">
        <w:t>% over the previous fall session</w:t>
      </w:r>
    </w:p>
    <w:p w:rsidR="007E740A" w:rsidRPr="00A37A62" w:rsidRDefault="00A33C20" w:rsidP="00A33C20">
      <w:pPr>
        <w:spacing w:line="240" w:lineRule="auto"/>
        <w:jc w:val="both"/>
        <w:rPr>
          <w:rFonts w:eastAsia="Times New Roman"/>
          <w:lang w:eastAsia="en-US"/>
        </w:rPr>
      </w:pPr>
      <w:r w:rsidRPr="00A37A62">
        <w:rPr>
          <w:rFonts w:eastAsia="Times New Roman"/>
          <w:lang w:eastAsia="en-US"/>
        </w:rPr>
        <w:t xml:space="preserve">We’ve certainly seen growth in our own program over the years.  </w:t>
      </w:r>
      <w:r w:rsidR="007E740A" w:rsidRPr="00A37A62">
        <w:rPr>
          <w:rFonts w:eastAsia="Times New Roman"/>
          <w:lang w:eastAsia="en-US"/>
        </w:rPr>
        <w:t>Changes in the demand for math in other programs have also led to larger enrolment numbers in math courses.</w:t>
      </w:r>
    </w:p>
    <w:p w:rsidR="007E740A" w:rsidRPr="00A37A62" w:rsidRDefault="00616971" w:rsidP="00A33C20">
      <w:pPr>
        <w:spacing w:line="240" w:lineRule="auto"/>
        <w:jc w:val="both"/>
        <w:rPr>
          <w:rFonts w:eastAsia="Times New Roman"/>
          <w:lang w:eastAsia="en-US"/>
        </w:rPr>
      </w:pPr>
      <w:r>
        <w:rPr>
          <w:rFonts w:eastAsia="Times New Roman"/>
          <w:noProof/>
          <w:lang w:val="en-US" w:eastAsia="en-US"/>
        </w:rPr>
        <w:drawing>
          <wp:inline distT="0" distB="0" distL="0" distR="0" wp14:anchorId="4D9E6D97">
            <wp:extent cx="4470400" cy="35179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0400" cy="3517900"/>
                    </a:xfrm>
                    <a:prstGeom prst="rect">
                      <a:avLst/>
                    </a:prstGeom>
                    <a:noFill/>
                  </pic:spPr>
                </pic:pic>
              </a:graphicData>
            </a:graphic>
          </wp:inline>
        </w:drawing>
      </w:r>
    </w:p>
    <w:p w:rsidR="00886786" w:rsidRPr="00A37A62" w:rsidRDefault="00886786" w:rsidP="00886786">
      <w:pPr>
        <w:rPr>
          <w:b/>
        </w:rPr>
      </w:pPr>
      <w:r w:rsidRPr="00A37A62">
        <w:rPr>
          <w:b/>
        </w:rPr>
        <w:lastRenderedPageBreak/>
        <w:t>How Many Students Are</w:t>
      </w:r>
      <w:r w:rsidR="0033767C">
        <w:rPr>
          <w:b/>
        </w:rPr>
        <w:t xml:space="preserve"> Taking our Courses?</w:t>
      </w:r>
      <w:r w:rsidRPr="00A37A62">
        <w:rPr>
          <w:b/>
        </w:rPr>
        <w:t xml:space="preserve"> </w:t>
      </w:r>
    </w:p>
    <w:p w:rsidR="001960A8" w:rsidRPr="0033767C" w:rsidRDefault="00B40CD6" w:rsidP="00886786">
      <w:pPr>
        <w:rPr>
          <w:b/>
        </w:rPr>
      </w:pPr>
      <w:r w:rsidRPr="00A37A62">
        <w:t xml:space="preserve">The data in the table below shows the number of enrollments in </w:t>
      </w:r>
      <w:r w:rsidR="0033767C">
        <w:t xml:space="preserve">courses by some of the FAS departments as of February </w:t>
      </w:r>
      <w:r w:rsidR="00DA394D" w:rsidRPr="00A37A62">
        <w:t>1,</w:t>
      </w:r>
      <w:r w:rsidRPr="00A37A62">
        <w:t xml:space="preserve"> 2017.  </w:t>
      </w:r>
      <w:r w:rsidR="00F7124E">
        <w:t>In February, Mathematics courses accounted for the largest percent of Total Arts Sci</w:t>
      </w:r>
      <w:r w:rsidR="009F3097">
        <w:t>.</w:t>
      </w:r>
      <w:r w:rsidR="00F7124E">
        <w:t xml:space="preserve"> </w:t>
      </w:r>
      <w:r w:rsidR="0033767C">
        <w:t>teaching,</w:t>
      </w:r>
      <w:r w:rsidR="00F7124E">
        <w:t xml:space="preserve"> by any department</w:t>
      </w:r>
      <w:r w:rsidR="0033767C">
        <w:t xml:space="preserve">.  Please note that </w:t>
      </w:r>
      <w:r w:rsidR="0033767C" w:rsidRPr="0033767C">
        <w:rPr>
          <w:b/>
        </w:rPr>
        <w:t>this does not include our teaching for engineering.</w:t>
      </w:r>
      <w:r w:rsidR="00F7124E" w:rsidRPr="0033767C">
        <w:rPr>
          <w:b/>
        </w:rPr>
        <w:t xml:space="preserve"> </w:t>
      </w:r>
    </w:p>
    <w:p w:rsidR="00CE07E4" w:rsidRDefault="00CE07E4" w:rsidP="00886786">
      <w:r>
        <w:rPr>
          <w:rFonts w:eastAsia="Times New Roman"/>
          <w:lang w:eastAsia="en-US"/>
        </w:rPr>
        <w:t xml:space="preserve">FAS </w:t>
      </w:r>
      <w:r w:rsidR="00961EDC">
        <w:rPr>
          <w:rFonts w:eastAsia="Times New Roman"/>
          <w:lang w:eastAsia="en-US"/>
        </w:rPr>
        <w:t xml:space="preserve">Sessional Report on Enrolment </w:t>
      </w:r>
      <w:r>
        <w:rPr>
          <w:rFonts w:eastAsia="Times New Roman"/>
          <w:lang w:eastAsia="en-US"/>
        </w:rPr>
        <w:t>as per Administrative Organization</w:t>
      </w:r>
      <w:r w:rsidRPr="00A37A62">
        <w:t xml:space="preserve"> </w:t>
      </w:r>
    </w:p>
    <w:tbl>
      <w:tblPr>
        <w:tblW w:w="0" w:type="auto"/>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55"/>
        <w:gridCol w:w="1559"/>
        <w:gridCol w:w="1339"/>
        <w:gridCol w:w="986"/>
        <w:gridCol w:w="1014"/>
      </w:tblGrid>
      <w:tr w:rsidR="00DA394D" w:rsidRPr="00A37A62" w:rsidTr="002166F8">
        <w:trPr>
          <w:trHeight w:val="1079"/>
          <w:tblHeader/>
        </w:trPr>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DA394D">
            <w:pPr>
              <w:spacing w:after="0"/>
              <w:jc w:val="center"/>
              <w:rPr>
                <w:rFonts w:eastAsia="Times New Roman"/>
                <w:b/>
                <w:sz w:val="20"/>
                <w:szCs w:val="20"/>
                <w:lang w:eastAsia="en-US"/>
              </w:rPr>
            </w:pPr>
            <w:r w:rsidRPr="00B86454">
              <w:rPr>
                <w:rFonts w:eastAsia="Times New Roman"/>
                <w:b/>
                <w:sz w:val="20"/>
                <w:szCs w:val="20"/>
                <w:lang w:eastAsia="en-US"/>
              </w:rPr>
              <w:t>Dep</w:t>
            </w:r>
            <w:r w:rsidR="00A03480" w:rsidRPr="00B86454">
              <w:rPr>
                <w:rFonts w:eastAsia="Times New Roman"/>
                <w:b/>
                <w:sz w:val="20"/>
                <w:szCs w:val="20"/>
                <w:lang w:eastAsia="en-US"/>
              </w:rPr>
              <w:t>artmen</w:t>
            </w:r>
            <w:r w:rsidRPr="00B86454">
              <w:rPr>
                <w:rFonts w:eastAsia="Times New Roman"/>
                <w:b/>
                <w:sz w:val="20"/>
                <w:szCs w:val="20"/>
                <w:lang w:eastAsia="en-US"/>
              </w:rPr>
              <w:t>t</w:t>
            </w:r>
          </w:p>
        </w:tc>
        <w:tc>
          <w:tcPr>
            <w:tcW w:w="1577" w:type="dxa"/>
            <w:tcBorders>
              <w:top w:val="single" w:sz="4" w:space="0" w:color="00000A"/>
              <w:left w:val="single" w:sz="4" w:space="0" w:color="00000A"/>
              <w:bottom w:val="single" w:sz="4" w:space="0" w:color="00000A"/>
              <w:right w:val="single" w:sz="4" w:space="0" w:color="00000A"/>
            </w:tcBorders>
          </w:tcPr>
          <w:p w:rsidR="00DA394D" w:rsidRPr="00B86454" w:rsidRDefault="00DA394D" w:rsidP="00DA394D">
            <w:pPr>
              <w:spacing w:after="0"/>
              <w:jc w:val="center"/>
              <w:rPr>
                <w:rFonts w:eastAsia="Times New Roman"/>
                <w:b/>
                <w:sz w:val="20"/>
                <w:szCs w:val="20"/>
                <w:lang w:eastAsia="en-US"/>
              </w:rPr>
            </w:pPr>
          </w:p>
          <w:p w:rsidR="00DA394D" w:rsidRPr="00B86454" w:rsidRDefault="00DA394D" w:rsidP="00DA394D">
            <w:pPr>
              <w:spacing w:after="0"/>
              <w:jc w:val="center"/>
              <w:rPr>
                <w:rFonts w:eastAsia="Times New Roman"/>
                <w:b/>
                <w:sz w:val="20"/>
                <w:szCs w:val="20"/>
                <w:lang w:eastAsia="en-US"/>
              </w:rPr>
            </w:pPr>
          </w:p>
          <w:p w:rsidR="00DA394D" w:rsidRPr="00B86454" w:rsidRDefault="00DA394D" w:rsidP="00DA394D">
            <w:pPr>
              <w:spacing w:after="0"/>
              <w:jc w:val="center"/>
              <w:rPr>
                <w:rFonts w:eastAsia="Times New Roman"/>
                <w:b/>
                <w:sz w:val="20"/>
                <w:szCs w:val="20"/>
                <w:lang w:eastAsia="en-US"/>
              </w:rPr>
            </w:pPr>
            <w:r w:rsidRPr="00B86454">
              <w:rPr>
                <w:rFonts w:eastAsia="Times New Roman"/>
                <w:b/>
                <w:sz w:val="20"/>
                <w:szCs w:val="20"/>
                <w:lang w:eastAsia="en-US"/>
              </w:rPr>
              <w:t>Abbreviation</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DA394D">
            <w:pPr>
              <w:spacing w:after="0"/>
              <w:jc w:val="center"/>
              <w:rPr>
                <w:rFonts w:eastAsia="Times New Roman"/>
                <w:b/>
                <w:sz w:val="20"/>
                <w:szCs w:val="20"/>
                <w:lang w:eastAsia="en-US"/>
              </w:rPr>
            </w:pPr>
            <w:r w:rsidRPr="00B86454">
              <w:rPr>
                <w:rFonts w:eastAsia="Times New Roman"/>
                <w:b/>
                <w:sz w:val="20"/>
                <w:szCs w:val="20"/>
                <w:lang w:eastAsia="en-US"/>
              </w:rPr>
              <w:t>Number of Students</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DA394D">
            <w:pPr>
              <w:spacing w:after="0"/>
              <w:jc w:val="center"/>
              <w:rPr>
                <w:rFonts w:eastAsia="Times New Roman"/>
                <w:b/>
                <w:sz w:val="20"/>
                <w:szCs w:val="20"/>
                <w:lang w:eastAsia="en-US"/>
              </w:rPr>
            </w:pPr>
            <w:r w:rsidRPr="00B86454">
              <w:rPr>
                <w:rFonts w:eastAsia="Times New Roman"/>
                <w:b/>
                <w:sz w:val="20"/>
                <w:szCs w:val="20"/>
                <w:lang w:eastAsia="en-US"/>
              </w:rPr>
              <w:t>FCE’s</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DA394D">
            <w:pPr>
              <w:spacing w:after="0"/>
              <w:jc w:val="center"/>
              <w:rPr>
                <w:rFonts w:eastAsia="Times New Roman"/>
                <w:b/>
                <w:sz w:val="20"/>
                <w:szCs w:val="20"/>
                <w:lang w:eastAsia="en-US"/>
              </w:rPr>
            </w:pPr>
            <w:r w:rsidRPr="00B86454">
              <w:rPr>
                <w:rFonts w:eastAsia="Times New Roman"/>
                <w:b/>
                <w:sz w:val="20"/>
                <w:szCs w:val="20"/>
                <w:lang w:eastAsia="en-US"/>
              </w:rPr>
              <w:t>% of Total Arts Sci FCEs</w:t>
            </w:r>
          </w:p>
        </w:tc>
      </w:tr>
      <w:tr w:rsidR="00DA394D"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AB1BB9">
            <w:pPr>
              <w:spacing w:after="0"/>
              <w:jc w:val="center"/>
              <w:rPr>
                <w:rFonts w:eastAsia="Times New Roman"/>
                <w:sz w:val="20"/>
                <w:szCs w:val="20"/>
                <w:lang w:eastAsia="en-US"/>
              </w:rPr>
            </w:pPr>
          </w:p>
        </w:tc>
        <w:tc>
          <w:tcPr>
            <w:tcW w:w="1577" w:type="dxa"/>
            <w:tcBorders>
              <w:top w:val="single" w:sz="4" w:space="0" w:color="00000A"/>
              <w:left w:val="single" w:sz="4" w:space="0" w:color="00000A"/>
              <w:bottom w:val="single" w:sz="4" w:space="0" w:color="00000A"/>
              <w:right w:val="single" w:sz="4" w:space="0" w:color="00000A"/>
            </w:tcBorders>
          </w:tcPr>
          <w:p w:rsidR="00DA394D" w:rsidRPr="00B86454" w:rsidRDefault="00DA394D" w:rsidP="00AB1BB9">
            <w:pPr>
              <w:spacing w:after="0"/>
              <w:jc w:val="center"/>
              <w:rPr>
                <w:rFonts w:eastAsia="Times New Roman"/>
                <w:sz w:val="20"/>
                <w:szCs w:val="20"/>
                <w:lang w:eastAsia="en-US"/>
              </w:rPr>
            </w:pP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AB1BB9">
            <w:pPr>
              <w:spacing w:after="0"/>
              <w:jc w:val="center"/>
              <w:rPr>
                <w:rFonts w:eastAsia="Times New Roman"/>
                <w:sz w:val="20"/>
                <w:szCs w:val="20"/>
                <w:lang w:eastAsia="en-US"/>
              </w:rPr>
            </w:pP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AB1BB9">
            <w:pPr>
              <w:spacing w:after="0"/>
              <w:jc w:val="center"/>
              <w:rPr>
                <w:rFonts w:eastAsia="Times New Roman"/>
                <w:sz w:val="20"/>
                <w:szCs w:val="20"/>
                <w:lang w:eastAsia="en-US"/>
              </w:rPr>
            </w:pP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AB1BB9">
            <w:pPr>
              <w:spacing w:after="0"/>
              <w:jc w:val="center"/>
              <w:rPr>
                <w:rFonts w:eastAsia="Times New Roman"/>
                <w:sz w:val="20"/>
                <w:szCs w:val="20"/>
                <w:lang w:eastAsia="en-US"/>
              </w:rPr>
            </w:pPr>
          </w:p>
        </w:tc>
      </w:tr>
      <w:tr w:rsidR="00DA394D"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AB1BB9">
            <w:pPr>
              <w:spacing w:after="0"/>
              <w:jc w:val="center"/>
              <w:rPr>
                <w:rFonts w:eastAsia="Times New Roman"/>
                <w:sz w:val="20"/>
                <w:szCs w:val="20"/>
                <w:lang w:eastAsia="en-US"/>
              </w:rPr>
            </w:pPr>
            <w:r w:rsidRPr="00B86454">
              <w:rPr>
                <w:rFonts w:eastAsia="Times New Roman"/>
                <w:sz w:val="20"/>
                <w:szCs w:val="20"/>
                <w:lang w:eastAsia="en-US"/>
              </w:rPr>
              <w:t>Anthropology</w:t>
            </w:r>
          </w:p>
        </w:tc>
        <w:tc>
          <w:tcPr>
            <w:tcW w:w="1577" w:type="dxa"/>
            <w:tcBorders>
              <w:top w:val="single" w:sz="4" w:space="0" w:color="00000A"/>
              <w:left w:val="single" w:sz="4" w:space="0" w:color="00000A"/>
              <w:bottom w:val="single" w:sz="4" w:space="0" w:color="00000A"/>
              <w:right w:val="single" w:sz="4" w:space="0" w:color="00000A"/>
            </w:tcBorders>
          </w:tcPr>
          <w:p w:rsidR="00DA394D" w:rsidRPr="00B86454" w:rsidRDefault="00DA394D" w:rsidP="00AB1BB9">
            <w:pPr>
              <w:spacing w:after="0"/>
              <w:jc w:val="center"/>
              <w:rPr>
                <w:rFonts w:eastAsia="Times New Roman"/>
                <w:sz w:val="20"/>
                <w:szCs w:val="20"/>
                <w:lang w:eastAsia="en-US"/>
              </w:rPr>
            </w:pPr>
            <w:r w:rsidRPr="00B86454">
              <w:rPr>
                <w:rFonts w:eastAsia="Times New Roman"/>
                <w:sz w:val="20"/>
                <w:szCs w:val="20"/>
                <w:lang w:eastAsia="en-US"/>
              </w:rPr>
              <w:t>ANT</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906B8B" w:rsidP="00AB1BB9">
            <w:pPr>
              <w:spacing w:after="0"/>
              <w:jc w:val="center"/>
              <w:rPr>
                <w:rFonts w:eastAsia="Times New Roman"/>
                <w:sz w:val="20"/>
                <w:szCs w:val="20"/>
                <w:lang w:eastAsia="en-US"/>
              </w:rPr>
            </w:pPr>
            <w:r w:rsidRPr="00B86454">
              <w:rPr>
                <w:rFonts w:eastAsia="Times New Roman"/>
                <w:sz w:val="20"/>
                <w:szCs w:val="20"/>
                <w:lang w:eastAsia="en-US"/>
              </w:rPr>
              <w:t>3951</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2610</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AB1BB9">
            <w:pPr>
              <w:spacing w:after="0"/>
              <w:jc w:val="center"/>
              <w:rPr>
                <w:rFonts w:eastAsia="Times New Roman"/>
                <w:sz w:val="20"/>
                <w:szCs w:val="20"/>
                <w:lang w:eastAsia="en-US"/>
              </w:rPr>
            </w:pPr>
            <w:r w:rsidRPr="00B86454">
              <w:rPr>
                <w:rFonts w:eastAsia="Times New Roman"/>
                <w:sz w:val="20"/>
                <w:szCs w:val="20"/>
                <w:lang w:eastAsia="en-US"/>
              </w:rPr>
              <w:t>2.1</w:t>
            </w:r>
          </w:p>
        </w:tc>
      </w:tr>
      <w:tr w:rsidR="00DA394D"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DA394D" w:rsidP="00D7021D">
            <w:pPr>
              <w:spacing w:after="0"/>
              <w:jc w:val="center"/>
              <w:rPr>
                <w:rFonts w:eastAsia="Times New Roman"/>
                <w:sz w:val="20"/>
                <w:szCs w:val="20"/>
                <w:lang w:eastAsia="en-US"/>
              </w:rPr>
            </w:pPr>
            <w:r w:rsidRPr="00B86454">
              <w:rPr>
                <w:rFonts w:eastAsia="Times New Roman"/>
                <w:sz w:val="20"/>
                <w:szCs w:val="20"/>
                <w:lang w:eastAsia="en-US"/>
              </w:rPr>
              <w:t>Astro</w:t>
            </w:r>
            <w:r w:rsidR="00D7021D" w:rsidRPr="00B86454">
              <w:rPr>
                <w:rFonts w:eastAsia="Times New Roman"/>
                <w:sz w:val="20"/>
                <w:szCs w:val="20"/>
                <w:lang w:eastAsia="en-US"/>
              </w:rPr>
              <w:t>nomy</w:t>
            </w:r>
          </w:p>
        </w:tc>
        <w:tc>
          <w:tcPr>
            <w:tcW w:w="1577" w:type="dxa"/>
            <w:tcBorders>
              <w:top w:val="single" w:sz="4" w:space="0" w:color="00000A"/>
              <w:left w:val="single" w:sz="4" w:space="0" w:color="00000A"/>
              <w:bottom w:val="single" w:sz="4" w:space="0" w:color="00000A"/>
              <w:right w:val="single" w:sz="4" w:space="0" w:color="00000A"/>
            </w:tcBorders>
          </w:tcPr>
          <w:p w:rsidR="00DA394D" w:rsidRPr="00B86454" w:rsidRDefault="00DA394D" w:rsidP="0090511A">
            <w:pPr>
              <w:spacing w:after="0"/>
              <w:jc w:val="center"/>
              <w:rPr>
                <w:rFonts w:eastAsia="Times New Roman"/>
                <w:sz w:val="20"/>
                <w:szCs w:val="20"/>
                <w:lang w:eastAsia="en-US"/>
              </w:rPr>
            </w:pPr>
            <w:r w:rsidRPr="00B86454">
              <w:rPr>
                <w:rFonts w:eastAsia="Times New Roman"/>
                <w:sz w:val="20"/>
                <w:szCs w:val="20"/>
                <w:lang w:eastAsia="en-US"/>
              </w:rPr>
              <w:t>AST</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906B8B" w:rsidP="0090511A">
            <w:pPr>
              <w:spacing w:after="0"/>
              <w:jc w:val="center"/>
              <w:rPr>
                <w:rFonts w:eastAsia="Times New Roman"/>
                <w:sz w:val="20"/>
                <w:szCs w:val="20"/>
                <w:lang w:eastAsia="en-US"/>
              </w:rPr>
            </w:pPr>
            <w:r w:rsidRPr="00B86454">
              <w:rPr>
                <w:rFonts w:eastAsia="Times New Roman"/>
                <w:sz w:val="20"/>
                <w:szCs w:val="20"/>
                <w:lang w:eastAsia="en-US"/>
              </w:rPr>
              <w:t>3114</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906B8B" w:rsidP="0090511A">
            <w:pPr>
              <w:spacing w:after="0"/>
              <w:jc w:val="center"/>
              <w:rPr>
                <w:rFonts w:eastAsia="Times New Roman"/>
                <w:sz w:val="20"/>
                <w:szCs w:val="20"/>
                <w:lang w:eastAsia="en-US"/>
              </w:rPr>
            </w:pPr>
            <w:r w:rsidRPr="00B86454">
              <w:rPr>
                <w:rFonts w:eastAsia="Times New Roman"/>
                <w:sz w:val="20"/>
                <w:szCs w:val="20"/>
                <w:lang w:eastAsia="en-US"/>
              </w:rPr>
              <w:t>1571</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B86454" w:rsidRDefault="00906B8B" w:rsidP="0090511A">
            <w:pPr>
              <w:spacing w:after="0"/>
              <w:jc w:val="center"/>
              <w:rPr>
                <w:rFonts w:eastAsia="Times New Roman"/>
                <w:sz w:val="20"/>
                <w:szCs w:val="20"/>
                <w:lang w:eastAsia="en-US"/>
              </w:rPr>
            </w:pPr>
            <w:r w:rsidRPr="00B86454">
              <w:rPr>
                <w:rFonts w:eastAsia="Times New Roman"/>
                <w:sz w:val="20"/>
                <w:szCs w:val="20"/>
                <w:lang w:eastAsia="en-US"/>
              </w:rPr>
              <w:t>1.3</w:t>
            </w:r>
          </w:p>
        </w:tc>
      </w:tr>
      <w:tr w:rsidR="00906B8B"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Commerce</w:t>
            </w:r>
          </w:p>
        </w:tc>
        <w:tc>
          <w:tcPr>
            <w:tcW w:w="1577" w:type="dxa"/>
            <w:tcBorders>
              <w:top w:val="single" w:sz="4" w:space="0" w:color="00000A"/>
              <w:left w:val="single" w:sz="4" w:space="0" w:color="00000A"/>
              <w:bottom w:val="single" w:sz="4" w:space="0" w:color="00000A"/>
              <w:right w:val="single" w:sz="4" w:space="0" w:color="00000A"/>
            </w:tcBorders>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COMG</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14127</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7064</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5.8</w:t>
            </w:r>
          </w:p>
        </w:tc>
      </w:tr>
      <w:tr w:rsidR="00906B8B"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Cells and Systems Biology</w:t>
            </w:r>
          </w:p>
        </w:tc>
        <w:tc>
          <w:tcPr>
            <w:tcW w:w="1577" w:type="dxa"/>
            <w:tcBorders>
              <w:top w:val="single" w:sz="4" w:space="0" w:color="00000A"/>
              <w:left w:val="single" w:sz="4" w:space="0" w:color="00000A"/>
              <w:bottom w:val="single" w:sz="4" w:space="0" w:color="00000A"/>
              <w:right w:val="single" w:sz="4" w:space="0" w:color="00000A"/>
            </w:tcBorders>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CSB</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6147</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3196.5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06B8B" w:rsidRPr="00B86454" w:rsidRDefault="00906B8B" w:rsidP="00906B8B">
            <w:pPr>
              <w:spacing w:after="0"/>
              <w:jc w:val="center"/>
              <w:rPr>
                <w:rFonts w:eastAsia="Times New Roman"/>
                <w:sz w:val="20"/>
                <w:szCs w:val="20"/>
                <w:lang w:eastAsia="en-US"/>
              </w:rPr>
            </w:pPr>
            <w:r w:rsidRPr="00B86454">
              <w:rPr>
                <w:rFonts w:eastAsia="Times New Roman"/>
                <w:sz w:val="20"/>
                <w:szCs w:val="20"/>
                <w:lang w:eastAsia="en-US"/>
              </w:rPr>
              <w:t>2.6</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Chemistry</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CHM</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5221</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2715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2.2</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Computer Science</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CSC</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14697</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7354.5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6.0</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ECO</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ECO</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11223</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8806</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7.2</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Ecology and Evolutionary Biology</w:t>
            </w:r>
          </w:p>
        </w:tc>
        <w:tc>
          <w:tcPr>
            <w:tcW w:w="1577" w:type="dxa"/>
            <w:tcBorders>
              <w:top w:val="single" w:sz="4" w:space="0" w:color="00000A"/>
              <w:left w:val="single" w:sz="4" w:space="0" w:color="00000A"/>
              <w:bottom w:val="single" w:sz="4" w:space="0" w:color="00000A"/>
              <w:right w:val="single" w:sz="4" w:space="0" w:color="00000A"/>
            </w:tcBorders>
          </w:tcPr>
          <w:p w:rsidR="00840A23" w:rsidRPr="00B86454" w:rsidRDefault="00840A23" w:rsidP="002166F8">
            <w:pPr>
              <w:spacing w:after="0"/>
              <w:jc w:val="center"/>
              <w:rPr>
                <w:rFonts w:eastAsia="Times New Roman"/>
                <w:sz w:val="20"/>
                <w:szCs w:val="20"/>
                <w:lang w:eastAsia="en-US"/>
              </w:rPr>
            </w:pPr>
          </w:p>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EEB</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5456</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2749.5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2.3</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b/>
                <w:sz w:val="20"/>
                <w:szCs w:val="20"/>
                <w:lang w:eastAsia="en-US"/>
              </w:rPr>
            </w:pPr>
            <w:r w:rsidRPr="00B86454">
              <w:rPr>
                <w:rFonts w:eastAsia="Times New Roman"/>
                <w:sz w:val="20"/>
                <w:szCs w:val="20"/>
                <w:lang w:eastAsia="en-US"/>
              </w:rPr>
              <w:t>English</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ENG</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824779" w:rsidP="002166F8">
            <w:pPr>
              <w:spacing w:after="0"/>
              <w:jc w:val="center"/>
              <w:rPr>
                <w:rFonts w:eastAsia="Times New Roman"/>
                <w:sz w:val="20"/>
                <w:szCs w:val="20"/>
                <w:lang w:eastAsia="en-US"/>
              </w:rPr>
            </w:pPr>
            <w:r w:rsidRPr="00B86454">
              <w:rPr>
                <w:rFonts w:eastAsia="Times New Roman"/>
                <w:sz w:val="20"/>
                <w:szCs w:val="20"/>
                <w:lang w:eastAsia="en-US"/>
              </w:rPr>
              <w:t>5339</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824779" w:rsidP="002166F8">
            <w:pPr>
              <w:spacing w:after="0"/>
              <w:jc w:val="center"/>
              <w:rPr>
                <w:rFonts w:eastAsia="Times New Roman"/>
                <w:sz w:val="20"/>
                <w:szCs w:val="20"/>
                <w:lang w:eastAsia="en-US"/>
              </w:rPr>
            </w:pPr>
            <w:r w:rsidRPr="00B86454">
              <w:rPr>
                <w:rFonts w:eastAsia="Times New Roman"/>
                <w:sz w:val="20"/>
                <w:szCs w:val="20"/>
                <w:lang w:eastAsia="en-US"/>
              </w:rPr>
              <w:t>3769</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824779" w:rsidP="002166F8">
            <w:pPr>
              <w:spacing w:after="0"/>
              <w:jc w:val="center"/>
              <w:rPr>
                <w:rFonts w:eastAsia="Times New Roman"/>
                <w:sz w:val="20"/>
                <w:szCs w:val="20"/>
                <w:lang w:eastAsia="en-US"/>
              </w:rPr>
            </w:pPr>
            <w:r w:rsidRPr="00B86454">
              <w:rPr>
                <w:rFonts w:eastAsia="Times New Roman"/>
                <w:sz w:val="20"/>
                <w:szCs w:val="20"/>
                <w:lang w:eastAsia="en-US"/>
              </w:rPr>
              <w:t>3.1</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History</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HIS</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5895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3870</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3.2</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Human Biology</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HMB</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4924</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2516.5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2.1</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Mathematics</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MAT</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17175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10416.5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8.5</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 xml:space="preserve">Philosophy </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PHL</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6684</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3813.5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3.1</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Psychology</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PSY</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9453</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4763</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2166F8" w:rsidP="002166F8">
            <w:pPr>
              <w:spacing w:after="0"/>
              <w:jc w:val="center"/>
              <w:rPr>
                <w:rFonts w:eastAsia="Times New Roman"/>
                <w:sz w:val="20"/>
                <w:szCs w:val="20"/>
                <w:lang w:eastAsia="en-US"/>
              </w:rPr>
            </w:pPr>
            <w:r w:rsidRPr="00B86454">
              <w:rPr>
                <w:rFonts w:eastAsia="Times New Roman"/>
                <w:sz w:val="20"/>
                <w:szCs w:val="20"/>
                <w:lang w:eastAsia="en-US"/>
              </w:rPr>
              <w:t>3.9</w:t>
            </w:r>
          </w:p>
        </w:tc>
      </w:tr>
      <w:tr w:rsidR="002166F8"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840A23" w:rsidP="002166F8">
            <w:pPr>
              <w:spacing w:after="0"/>
              <w:jc w:val="center"/>
              <w:rPr>
                <w:rFonts w:eastAsia="Times New Roman"/>
                <w:sz w:val="20"/>
                <w:szCs w:val="20"/>
                <w:lang w:eastAsia="en-US"/>
              </w:rPr>
            </w:pPr>
            <w:r w:rsidRPr="00B86454">
              <w:rPr>
                <w:rFonts w:eastAsia="Times New Roman"/>
                <w:sz w:val="20"/>
                <w:szCs w:val="20"/>
                <w:lang w:eastAsia="en-US"/>
              </w:rPr>
              <w:t>Physics</w:t>
            </w:r>
          </w:p>
        </w:tc>
        <w:tc>
          <w:tcPr>
            <w:tcW w:w="1577" w:type="dxa"/>
            <w:tcBorders>
              <w:top w:val="single" w:sz="4" w:space="0" w:color="00000A"/>
              <w:left w:val="single" w:sz="4" w:space="0" w:color="00000A"/>
              <w:bottom w:val="single" w:sz="4" w:space="0" w:color="00000A"/>
              <w:right w:val="single" w:sz="4" w:space="0" w:color="00000A"/>
            </w:tcBorders>
          </w:tcPr>
          <w:p w:rsidR="002166F8" w:rsidRPr="00B86454" w:rsidRDefault="00840A23" w:rsidP="002166F8">
            <w:pPr>
              <w:spacing w:after="0"/>
              <w:jc w:val="center"/>
              <w:rPr>
                <w:rFonts w:eastAsia="Times New Roman"/>
                <w:sz w:val="20"/>
                <w:szCs w:val="20"/>
                <w:lang w:eastAsia="en-US"/>
              </w:rPr>
            </w:pPr>
            <w:r w:rsidRPr="00B86454">
              <w:rPr>
                <w:rFonts w:eastAsia="Times New Roman"/>
                <w:sz w:val="20"/>
                <w:szCs w:val="20"/>
                <w:lang w:eastAsia="en-US"/>
              </w:rPr>
              <w:t>PHY</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840A23" w:rsidP="002166F8">
            <w:pPr>
              <w:spacing w:after="0"/>
              <w:jc w:val="center"/>
              <w:rPr>
                <w:rFonts w:eastAsia="Times New Roman"/>
                <w:sz w:val="20"/>
                <w:szCs w:val="20"/>
                <w:lang w:eastAsia="en-US"/>
              </w:rPr>
            </w:pPr>
            <w:r w:rsidRPr="00B86454">
              <w:rPr>
                <w:rFonts w:eastAsia="Times New Roman"/>
                <w:sz w:val="20"/>
                <w:szCs w:val="20"/>
                <w:lang w:eastAsia="en-US"/>
              </w:rPr>
              <w:t>4517</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840A23" w:rsidP="002166F8">
            <w:pPr>
              <w:spacing w:after="0"/>
              <w:jc w:val="center"/>
              <w:rPr>
                <w:rFonts w:eastAsia="Times New Roman"/>
                <w:sz w:val="20"/>
                <w:szCs w:val="20"/>
                <w:lang w:eastAsia="en-US"/>
              </w:rPr>
            </w:pPr>
            <w:r w:rsidRPr="00B86454">
              <w:rPr>
                <w:rFonts w:eastAsia="Times New Roman"/>
                <w:sz w:val="20"/>
                <w:szCs w:val="20"/>
                <w:lang w:eastAsia="en-US"/>
              </w:rPr>
              <w:t>2266.5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166F8" w:rsidRPr="00B86454" w:rsidRDefault="00840A23" w:rsidP="002166F8">
            <w:pPr>
              <w:spacing w:after="0"/>
              <w:jc w:val="center"/>
              <w:rPr>
                <w:rFonts w:eastAsia="Times New Roman"/>
                <w:sz w:val="20"/>
                <w:szCs w:val="20"/>
                <w:lang w:eastAsia="en-US"/>
              </w:rPr>
            </w:pPr>
            <w:r w:rsidRPr="00B86454">
              <w:rPr>
                <w:rFonts w:eastAsia="Times New Roman"/>
                <w:sz w:val="20"/>
                <w:szCs w:val="20"/>
                <w:lang w:eastAsia="en-US"/>
              </w:rPr>
              <w:t>1.9</w:t>
            </w:r>
          </w:p>
        </w:tc>
      </w:tr>
      <w:tr w:rsidR="00840A23"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Sociology</w:t>
            </w:r>
          </w:p>
        </w:tc>
        <w:tc>
          <w:tcPr>
            <w:tcW w:w="1577" w:type="dxa"/>
            <w:tcBorders>
              <w:top w:val="single" w:sz="4" w:space="0" w:color="00000A"/>
              <w:left w:val="single" w:sz="4" w:space="0" w:color="00000A"/>
              <w:bottom w:val="single" w:sz="4" w:space="0" w:color="00000A"/>
              <w:right w:val="single" w:sz="4" w:space="0" w:color="00000A"/>
            </w:tcBorders>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SOC</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6915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3922</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3.2</w:t>
            </w:r>
          </w:p>
        </w:tc>
      </w:tr>
      <w:tr w:rsidR="00840A23" w:rsidRPr="00A37A62" w:rsidTr="002166F8">
        <w:tc>
          <w:tcPr>
            <w:tcW w:w="2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Statistics</w:t>
            </w:r>
          </w:p>
        </w:tc>
        <w:tc>
          <w:tcPr>
            <w:tcW w:w="1577" w:type="dxa"/>
            <w:tcBorders>
              <w:top w:val="single" w:sz="4" w:space="0" w:color="00000A"/>
              <w:left w:val="single" w:sz="4" w:space="0" w:color="00000A"/>
              <w:bottom w:val="single" w:sz="4" w:space="0" w:color="00000A"/>
              <w:right w:val="single" w:sz="4" w:space="0" w:color="00000A"/>
            </w:tcBorders>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STAT</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8523</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4273.5</w:t>
            </w:r>
          </w:p>
        </w:tc>
        <w:tc>
          <w:tcPr>
            <w:tcW w:w="10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0A23" w:rsidRPr="00B86454" w:rsidRDefault="00840A23" w:rsidP="00840A23">
            <w:pPr>
              <w:spacing w:after="0"/>
              <w:jc w:val="center"/>
              <w:rPr>
                <w:rFonts w:eastAsia="Times New Roman"/>
                <w:sz w:val="20"/>
                <w:szCs w:val="20"/>
                <w:lang w:eastAsia="en-US"/>
              </w:rPr>
            </w:pPr>
            <w:r w:rsidRPr="00B86454">
              <w:rPr>
                <w:rFonts w:eastAsia="Times New Roman"/>
                <w:sz w:val="20"/>
                <w:szCs w:val="20"/>
                <w:lang w:eastAsia="en-US"/>
              </w:rPr>
              <w:t>3.5</w:t>
            </w:r>
          </w:p>
        </w:tc>
      </w:tr>
    </w:tbl>
    <w:p w:rsidR="00CE07E4" w:rsidRDefault="00CE07E4" w:rsidP="006252B6">
      <w:pPr>
        <w:rPr>
          <w:b/>
        </w:rPr>
      </w:pPr>
      <w:r w:rsidRPr="00A37A62">
        <w:t xml:space="preserve">The </w:t>
      </w:r>
      <w:r>
        <w:t>FAS enrolment data for fall 2017 will become available in November.</w:t>
      </w:r>
    </w:p>
    <w:p w:rsidR="00CE07E4" w:rsidRDefault="00CE07E4" w:rsidP="006252B6">
      <w:pPr>
        <w:rPr>
          <w:b/>
        </w:rPr>
      </w:pPr>
    </w:p>
    <w:p w:rsidR="006252B6" w:rsidRPr="00A37A62" w:rsidRDefault="006252B6" w:rsidP="006252B6">
      <w:pPr>
        <w:rPr>
          <w:b/>
        </w:rPr>
      </w:pPr>
      <w:r w:rsidRPr="00A37A62">
        <w:rPr>
          <w:b/>
        </w:rPr>
        <w:lastRenderedPageBreak/>
        <w:t>Enrolment by Gender</w:t>
      </w:r>
    </w:p>
    <w:p w:rsidR="006252B6" w:rsidRPr="00A37A62" w:rsidRDefault="006252B6" w:rsidP="006252B6">
      <w:r w:rsidRPr="00A37A62">
        <w:t>The enrolment by gender data does not account for all the students enrolled in the program</w:t>
      </w:r>
      <w:r w:rsidR="0033767C">
        <w:t>s</w:t>
      </w:r>
      <w:r w:rsidRPr="00A37A62">
        <w:t xml:space="preserve"> since some students did not declare a gender</w:t>
      </w:r>
      <w:r w:rsidR="009160F4">
        <w:t>;</w:t>
      </w:r>
      <w:r w:rsidRPr="00A37A62">
        <w:t xml:space="preserve"> </w:t>
      </w:r>
      <w:r w:rsidR="009160F4">
        <w:t>1756</w:t>
      </w:r>
      <w:r w:rsidRPr="00A37A62">
        <w:t xml:space="preserve"> </w:t>
      </w:r>
      <w:r w:rsidR="009160F4">
        <w:t>of them</w:t>
      </w:r>
      <w:r w:rsidRPr="00A37A62">
        <w:t xml:space="preserve"> declared male as their gender and 1389 declared female as their gender.</w:t>
      </w:r>
    </w:p>
    <w:p w:rsidR="006252B6" w:rsidRPr="00A37A62" w:rsidRDefault="006252B6" w:rsidP="006252B6">
      <w:r w:rsidRPr="00A37A62">
        <w:t xml:space="preserve">In fall 2015 the number of males in the program stood at 57.7%, in fall 2016 the number of males in the program moved to 57% and this year the males account for 56%. </w:t>
      </w:r>
    </w:p>
    <w:p w:rsidR="006252B6" w:rsidRPr="00A37A62" w:rsidRDefault="006252B6" w:rsidP="006252B6">
      <w:pPr>
        <w:rPr>
          <w:b/>
        </w:rPr>
      </w:pPr>
      <w:r w:rsidRPr="00A37A62">
        <w:rPr>
          <w:b/>
        </w:rPr>
        <w:t>International Student Enrolment in Programs</w:t>
      </w:r>
    </w:p>
    <w:p w:rsidR="009F3097" w:rsidRPr="00A37A62" w:rsidRDefault="006252B6" w:rsidP="006252B6">
      <w:r w:rsidRPr="00A37A62">
        <w:t>The number of international students in the program has quadrupled between 2011 and 2017. International students now account for 49% of the total number of students enrolled in mathematics programs.</w:t>
      </w:r>
    </w:p>
    <w:p w:rsidR="006252B6" w:rsidRPr="00A37A62" w:rsidRDefault="006252B6" w:rsidP="006252B6">
      <w:r w:rsidRPr="00A37A62">
        <w:rPr>
          <w:noProof/>
          <w:lang w:val="en-US" w:eastAsia="en-US"/>
        </w:rPr>
        <w:drawing>
          <wp:inline distT="0" distB="0" distL="0" distR="0" wp14:anchorId="2311F0E1" wp14:editId="0252A662">
            <wp:extent cx="4124325" cy="312132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9754" cy="3155705"/>
                    </a:xfrm>
                    <a:prstGeom prst="rect">
                      <a:avLst/>
                    </a:prstGeom>
                    <a:noFill/>
                    <a:ln>
                      <a:noFill/>
                    </a:ln>
                  </pic:spPr>
                </pic:pic>
              </a:graphicData>
            </a:graphic>
          </wp:inline>
        </w:drawing>
      </w:r>
    </w:p>
    <w:p w:rsidR="006252B6" w:rsidRDefault="009F3097" w:rsidP="006252B6">
      <w:r>
        <w:rPr>
          <w:noProof/>
          <w:lang w:val="en-US" w:eastAsia="en-US"/>
        </w:rPr>
        <w:lastRenderedPageBreak/>
        <w:drawing>
          <wp:inline distT="0" distB="0" distL="0" distR="0" wp14:anchorId="37C5AB62" wp14:editId="354CA7C5">
            <wp:extent cx="4613910" cy="29558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6247" cy="2963755"/>
                    </a:xfrm>
                    <a:prstGeom prst="rect">
                      <a:avLst/>
                    </a:prstGeom>
                    <a:noFill/>
                  </pic:spPr>
                </pic:pic>
              </a:graphicData>
            </a:graphic>
          </wp:inline>
        </w:drawing>
      </w:r>
    </w:p>
    <w:p w:rsidR="009F3097" w:rsidRPr="00A37A62" w:rsidRDefault="00BB1B38" w:rsidP="006252B6">
      <w:r>
        <w:rPr>
          <w:noProof/>
          <w:lang w:val="en-US" w:eastAsia="en-US"/>
        </w:rPr>
        <w:drawing>
          <wp:inline distT="0" distB="0" distL="0" distR="0" wp14:anchorId="58CD00E3" wp14:editId="4BA7F9E1">
            <wp:extent cx="4765183" cy="3452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2566" cy="3465089"/>
                    </a:xfrm>
                    <a:prstGeom prst="rect">
                      <a:avLst/>
                    </a:prstGeom>
                    <a:noFill/>
                  </pic:spPr>
                </pic:pic>
              </a:graphicData>
            </a:graphic>
          </wp:inline>
        </w:drawing>
      </w:r>
    </w:p>
    <w:p w:rsidR="00BB1B38" w:rsidRDefault="00BB1B38" w:rsidP="00BB1B38">
      <w:pPr>
        <w:rPr>
          <w:b/>
        </w:rPr>
      </w:pPr>
      <w:r>
        <w:rPr>
          <w:b/>
        </w:rPr>
        <w:lastRenderedPageBreak/>
        <w:t>Graduates 2016-</w:t>
      </w:r>
      <w:r w:rsidR="00E10826" w:rsidRPr="00A37A62">
        <w:rPr>
          <w:b/>
        </w:rPr>
        <w:t>2017</w:t>
      </w:r>
    </w:p>
    <w:p w:rsidR="00BB1B38" w:rsidRPr="00616971" w:rsidRDefault="00616971" w:rsidP="00616971">
      <w:pPr>
        <w:rPr>
          <w:b/>
        </w:rPr>
      </w:pPr>
      <w:r>
        <w:t>T</w:t>
      </w:r>
      <w:r>
        <w:t>he Faculty of Arts and Science</w:t>
      </w:r>
      <w:r>
        <w:t xml:space="preserve"> has confirmed that math majors, specialist and minors accounted for </w:t>
      </w:r>
      <w:r w:rsidR="00BB1B38">
        <w:t>411</w:t>
      </w:r>
      <w:r>
        <w:t xml:space="preserve"> graduates for November 2016 and June 2017</w:t>
      </w:r>
      <w:r w:rsidR="00BB1B38">
        <w:t>.</w:t>
      </w:r>
      <w:r>
        <w:t xml:space="preserve"> The table show the breakdown by program.</w:t>
      </w:r>
    </w:p>
    <w:tbl>
      <w:tblPr>
        <w:tblW w:w="48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83"/>
        <w:gridCol w:w="1372"/>
        <w:gridCol w:w="1300"/>
      </w:tblGrid>
      <w:tr w:rsidR="00BB1B38" w:rsidRPr="00A37A62" w:rsidTr="00BB1B38">
        <w:trPr>
          <w:tblHeade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1960A8" w:rsidRDefault="00BB1B38" w:rsidP="001B3087">
            <w:pPr>
              <w:spacing w:after="0"/>
              <w:rPr>
                <w:b/>
                <w:sz w:val="26"/>
                <w:szCs w:val="26"/>
              </w:rPr>
            </w:pPr>
            <w:r w:rsidRPr="001960A8">
              <w:rPr>
                <w:b/>
                <w:sz w:val="26"/>
                <w:szCs w:val="26"/>
              </w:rPr>
              <w:t>Program of Study</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FB4DAB" w:rsidRDefault="00BB1B38" w:rsidP="00616971">
            <w:pPr>
              <w:spacing w:after="0"/>
              <w:jc w:val="right"/>
              <w:rPr>
                <w:b/>
                <w:sz w:val="26"/>
                <w:szCs w:val="26"/>
              </w:rPr>
            </w:pPr>
            <w:r w:rsidRPr="00FB4DAB">
              <w:rPr>
                <w:b/>
                <w:sz w:val="26"/>
                <w:szCs w:val="26"/>
              </w:rPr>
              <w:t>November  2017</w:t>
            </w:r>
          </w:p>
        </w:tc>
        <w:tc>
          <w:tcPr>
            <w:tcW w:w="1514" w:type="dxa"/>
            <w:tcBorders>
              <w:top w:val="single" w:sz="4" w:space="0" w:color="00000A"/>
              <w:left w:val="single" w:sz="4" w:space="0" w:color="00000A"/>
              <w:bottom w:val="single" w:sz="4" w:space="0" w:color="00000A"/>
              <w:right w:val="single" w:sz="4" w:space="0" w:color="00000A"/>
            </w:tcBorders>
            <w:vAlign w:val="center"/>
          </w:tcPr>
          <w:p w:rsidR="00BB1B38" w:rsidRPr="00FB4DAB" w:rsidRDefault="00BB1B38" w:rsidP="00616971">
            <w:pPr>
              <w:spacing w:after="0"/>
              <w:jc w:val="right"/>
              <w:rPr>
                <w:b/>
                <w:sz w:val="26"/>
                <w:szCs w:val="26"/>
              </w:rPr>
            </w:pPr>
            <w:r w:rsidRPr="00FB4DAB">
              <w:rPr>
                <w:b/>
                <w:sz w:val="26"/>
                <w:szCs w:val="26"/>
              </w:rPr>
              <w:t>June  2017</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1960A8" w:rsidRDefault="00BB1B38" w:rsidP="001B3087">
            <w:pPr>
              <w:spacing w:after="0"/>
              <w:rPr>
                <w:sz w:val="26"/>
                <w:szCs w:val="26"/>
              </w:rPr>
            </w:pPr>
            <w:r w:rsidRPr="001960A8">
              <w:rPr>
                <w:sz w:val="26"/>
                <w:szCs w:val="26"/>
              </w:rPr>
              <w:t>Math Major</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FB4DAB" w:rsidRDefault="00BB1B38" w:rsidP="001B3087">
            <w:pPr>
              <w:spacing w:after="0"/>
              <w:jc w:val="right"/>
              <w:rPr>
                <w:sz w:val="26"/>
                <w:szCs w:val="26"/>
              </w:rPr>
            </w:pPr>
            <w:bookmarkStart w:id="0" w:name="_GoBack"/>
            <w:bookmarkEnd w:id="0"/>
            <w:r w:rsidRPr="00FB4DAB">
              <w:rPr>
                <w:sz w:val="26"/>
                <w:szCs w:val="26"/>
              </w:rPr>
              <w:t>32</w:t>
            </w:r>
          </w:p>
        </w:tc>
        <w:tc>
          <w:tcPr>
            <w:tcW w:w="1514" w:type="dxa"/>
            <w:tcBorders>
              <w:top w:val="single" w:sz="4" w:space="0" w:color="00000A"/>
              <w:left w:val="single" w:sz="4" w:space="0" w:color="00000A"/>
              <w:bottom w:val="single" w:sz="4" w:space="0" w:color="00000A"/>
              <w:right w:val="single" w:sz="4" w:space="0" w:color="00000A"/>
            </w:tcBorders>
            <w:vAlign w:val="center"/>
          </w:tcPr>
          <w:p w:rsidR="00BB1B38" w:rsidRPr="00FB4DAB" w:rsidRDefault="00BB1B38" w:rsidP="001B3087">
            <w:pPr>
              <w:spacing w:after="0"/>
              <w:jc w:val="right"/>
              <w:rPr>
                <w:sz w:val="26"/>
                <w:szCs w:val="26"/>
              </w:rPr>
            </w:pPr>
            <w:r w:rsidRPr="00FB4DAB">
              <w:rPr>
                <w:sz w:val="26"/>
                <w:szCs w:val="26"/>
              </w:rPr>
              <w:t>101</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1960A8" w:rsidRDefault="00BB1B38" w:rsidP="001B3087">
            <w:pPr>
              <w:spacing w:after="0"/>
              <w:rPr>
                <w:sz w:val="26"/>
                <w:szCs w:val="26"/>
              </w:rPr>
            </w:pPr>
            <w:r w:rsidRPr="001960A8">
              <w:rPr>
                <w:sz w:val="26"/>
                <w:szCs w:val="26"/>
              </w:rPr>
              <w:t>Math Minor</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FB4DAB" w:rsidRDefault="00BB1B38" w:rsidP="001B3087">
            <w:pPr>
              <w:spacing w:after="0"/>
              <w:jc w:val="right"/>
              <w:rPr>
                <w:sz w:val="26"/>
                <w:szCs w:val="26"/>
              </w:rPr>
            </w:pPr>
            <w:r w:rsidRPr="00FB4DAB">
              <w:rPr>
                <w:sz w:val="26"/>
                <w:szCs w:val="26"/>
              </w:rPr>
              <w:t>27</w:t>
            </w:r>
          </w:p>
        </w:tc>
        <w:tc>
          <w:tcPr>
            <w:tcW w:w="1514" w:type="dxa"/>
            <w:tcBorders>
              <w:top w:val="single" w:sz="4" w:space="0" w:color="00000A"/>
              <w:left w:val="single" w:sz="4" w:space="0" w:color="00000A"/>
              <w:bottom w:val="single" w:sz="4" w:space="0" w:color="00000A"/>
              <w:right w:val="single" w:sz="4" w:space="0" w:color="00000A"/>
            </w:tcBorders>
            <w:vAlign w:val="center"/>
          </w:tcPr>
          <w:p w:rsidR="00BB1B38" w:rsidRPr="00FB4DAB" w:rsidRDefault="00BB1B38" w:rsidP="001B3087">
            <w:pPr>
              <w:spacing w:after="0"/>
              <w:jc w:val="right"/>
              <w:rPr>
                <w:sz w:val="26"/>
                <w:szCs w:val="26"/>
              </w:rPr>
            </w:pPr>
            <w:r w:rsidRPr="00FB4DAB">
              <w:rPr>
                <w:sz w:val="26"/>
                <w:szCs w:val="26"/>
              </w:rPr>
              <w:t>153</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1960A8" w:rsidRDefault="00BB1B38" w:rsidP="001B3087">
            <w:pPr>
              <w:spacing w:after="0"/>
              <w:rPr>
                <w:i/>
                <w:sz w:val="26"/>
                <w:szCs w:val="26"/>
              </w:rPr>
            </w:pPr>
            <w:r w:rsidRPr="001960A8">
              <w:rPr>
                <w:i/>
                <w:sz w:val="26"/>
                <w:szCs w:val="26"/>
              </w:rPr>
              <w:t>Sp: Math &amp; Physics</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B1B38" w:rsidRPr="00FB4DAB" w:rsidRDefault="00BB1B38" w:rsidP="001B3087">
            <w:pPr>
              <w:spacing w:after="0"/>
              <w:jc w:val="right"/>
              <w:rPr>
                <w:sz w:val="26"/>
                <w:szCs w:val="26"/>
              </w:rPr>
            </w:pPr>
            <w:r w:rsidRPr="00FB4DAB">
              <w:rPr>
                <w:sz w:val="26"/>
                <w:szCs w:val="26"/>
              </w:rPr>
              <w:t>2</w:t>
            </w:r>
          </w:p>
        </w:tc>
        <w:tc>
          <w:tcPr>
            <w:tcW w:w="1514" w:type="dxa"/>
            <w:tcBorders>
              <w:top w:val="single" w:sz="4" w:space="0" w:color="00000A"/>
              <w:left w:val="single" w:sz="4" w:space="0" w:color="00000A"/>
              <w:bottom w:val="single" w:sz="4" w:space="0" w:color="00000A"/>
              <w:right w:val="single" w:sz="4" w:space="0" w:color="00000A"/>
            </w:tcBorders>
            <w:vAlign w:val="center"/>
          </w:tcPr>
          <w:p w:rsidR="00BB1B38" w:rsidRPr="00FB4DAB" w:rsidRDefault="00BB1B38" w:rsidP="001B3087">
            <w:pPr>
              <w:spacing w:after="0"/>
              <w:jc w:val="right"/>
              <w:rPr>
                <w:sz w:val="26"/>
                <w:szCs w:val="26"/>
              </w:rPr>
            </w:pPr>
            <w:r w:rsidRPr="00FB4DAB">
              <w:rPr>
                <w:sz w:val="26"/>
                <w:szCs w:val="26"/>
              </w:rPr>
              <w:t>8</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i/>
                <w:sz w:val="26"/>
                <w:szCs w:val="26"/>
              </w:rPr>
            </w:pPr>
            <w:r w:rsidRPr="001960A8">
              <w:rPr>
                <w:i/>
                <w:sz w:val="26"/>
                <w:szCs w:val="26"/>
              </w:rPr>
              <w:t>Sp: Mathematics</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0</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11</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i/>
                <w:sz w:val="26"/>
                <w:szCs w:val="26"/>
              </w:rPr>
            </w:pPr>
            <w:r w:rsidRPr="001960A8">
              <w:rPr>
                <w:i/>
                <w:sz w:val="26"/>
                <w:szCs w:val="26"/>
              </w:rPr>
              <w:t>Sp: Math &amp; Philosophy</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0</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1</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sz w:val="26"/>
                <w:szCs w:val="26"/>
              </w:rPr>
            </w:pPr>
            <w:r w:rsidRPr="001960A8">
              <w:rPr>
                <w:sz w:val="26"/>
                <w:szCs w:val="26"/>
              </w:rPr>
              <w:t xml:space="preserve">Sp: Math &amp; its Appl. Teaching </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0</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4</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sz w:val="26"/>
                <w:szCs w:val="26"/>
              </w:rPr>
            </w:pPr>
            <w:r w:rsidRPr="001960A8">
              <w:rPr>
                <w:sz w:val="26"/>
                <w:szCs w:val="26"/>
              </w:rPr>
              <w:t>Sp: Math. Appl. to Econ &amp; Finance</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6</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47</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sz w:val="26"/>
                <w:szCs w:val="26"/>
              </w:rPr>
            </w:pPr>
            <w:r w:rsidRPr="001960A8">
              <w:rPr>
                <w:sz w:val="26"/>
                <w:szCs w:val="26"/>
              </w:rPr>
              <w:t>Sp: Math &amp; its Appl. Physical Sci.</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0</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1</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sz w:val="26"/>
                <w:szCs w:val="26"/>
              </w:rPr>
            </w:pPr>
            <w:r w:rsidRPr="001960A8">
              <w:rPr>
                <w:sz w:val="26"/>
                <w:szCs w:val="26"/>
              </w:rPr>
              <w:t>Sp: Math &amp; its Appl. Prob. &amp; Stats.</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1</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14</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i/>
                <w:sz w:val="26"/>
                <w:szCs w:val="26"/>
              </w:rPr>
            </w:pPr>
            <w:r w:rsidRPr="001960A8">
              <w:rPr>
                <w:i/>
                <w:sz w:val="26"/>
                <w:szCs w:val="26"/>
              </w:rPr>
              <w:t>Sp: Applied Mathematics</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0</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3</w:t>
            </w:r>
          </w:p>
        </w:tc>
      </w:tr>
      <w:tr w:rsidR="00BB1B38" w:rsidRPr="00A37A62" w:rsidTr="00BB1B38">
        <w:trPr>
          <w:jc w:val="center"/>
        </w:trPr>
        <w:tc>
          <w:tcPr>
            <w:tcW w:w="2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1960A8" w:rsidRDefault="00BB1B38" w:rsidP="001B3087">
            <w:pPr>
              <w:spacing w:after="0"/>
              <w:rPr>
                <w:sz w:val="26"/>
                <w:szCs w:val="26"/>
              </w:rPr>
            </w:pPr>
            <w:r w:rsidRPr="001960A8">
              <w:rPr>
                <w:sz w:val="26"/>
                <w:szCs w:val="26"/>
              </w:rPr>
              <w:t>Total</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B1B38" w:rsidRPr="00FB4DAB" w:rsidRDefault="00BB1B38" w:rsidP="001B3087">
            <w:pPr>
              <w:spacing w:after="0"/>
              <w:jc w:val="right"/>
              <w:rPr>
                <w:sz w:val="26"/>
                <w:szCs w:val="26"/>
              </w:rPr>
            </w:pPr>
            <w:r w:rsidRPr="00FB4DAB">
              <w:rPr>
                <w:sz w:val="26"/>
                <w:szCs w:val="26"/>
              </w:rPr>
              <w:t>68</w:t>
            </w:r>
          </w:p>
        </w:tc>
        <w:tc>
          <w:tcPr>
            <w:tcW w:w="1514" w:type="dxa"/>
            <w:tcBorders>
              <w:top w:val="single" w:sz="4" w:space="0" w:color="00000A"/>
              <w:left w:val="single" w:sz="4" w:space="0" w:color="00000A"/>
              <w:bottom w:val="single" w:sz="4" w:space="0" w:color="00000A"/>
              <w:right w:val="single" w:sz="4" w:space="0" w:color="00000A"/>
            </w:tcBorders>
          </w:tcPr>
          <w:p w:rsidR="00BB1B38" w:rsidRPr="00FB4DAB" w:rsidRDefault="00BB1B38" w:rsidP="001B3087">
            <w:pPr>
              <w:spacing w:after="0"/>
              <w:jc w:val="right"/>
              <w:rPr>
                <w:sz w:val="26"/>
                <w:szCs w:val="26"/>
              </w:rPr>
            </w:pPr>
            <w:r w:rsidRPr="00FB4DAB">
              <w:rPr>
                <w:sz w:val="26"/>
                <w:szCs w:val="26"/>
              </w:rPr>
              <w:t>343</w:t>
            </w:r>
          </w:p>
        </w:tc>
      </w:tr>
    </w:tbl>
    <w:p w:rsidR="00BB1B38" w:rsidRDefault="00BB1B38" w:rsidP="00BB1B38">
      <w:pPr>
        <w:rPr>
          <w:b/>
        </w:rPr>
      </w:pPr>
      <w:r>
        <w:rPr>
          <w:b/>
          <w:noProof/>
          <w:lang w:val="en-US" w:eastAsia="en-US"/>
        </w:rPr>
        <w:lastRenderedPageBreak/>
        <w:drawing>
          <wp:inline distT="0" distB="0" distL="0" distR="0" wp14:anchorId="0629F86B" wp14:editId="132BE5E2">
            <wp:extent cx="4519930" cy="50485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973" cy="5096595"/>
                    </a:xfrm>
                    <a:prstGeom prst="rect">
                      <a:avLst/>
                    </a:prstGeom>
                    <a:noFill/>
                  </pic:spPr>
                </pic:pic>
              </a:graphicData>
            </a:graphic>
          </wp:inline>
        </w:drawing>
      </w:r>
    </w:p>
    <w:p w:rsidR="00BB1B38" w:rsidRPr="00A37A62" w:rsidRDefault="00BB1B38" w:rsidP="00BB1B38">
      <w:pPr>
        <w:rPr>
          <w:b/>
        </w:rPr>
      </w:pPr>
      <w:r w:rsidRPr="00A37A62">
        <w:rPr>
          <w:b/>
        </w:rPr>
        <w:t>Other Undergraduate Activities</w:t>
      </w:r>
    </w:p>
    <w:p w:rsidR="00BB1B38" w:rsidRPr="00A37A62" w:rsidRDefault="00BB1B38" w:rsidP="00BB1B38">
      <w:r w:rsidRPr="00A37A62">
        <w:t xml:space="preserve">The </w:t>
      </w:r>
      <w:r w:rsidR="00F23A6F">
        <w:t xml:space="preserve">undergraduate office </w:t>
      </w:r>
      <w:r w:rsidRPr="00A37A62">
        <w:t>continue</w:t>
      </w:r>
      <w:r w:rsidR="00F23A6F">
        <w:t>s</w:t>
      </w:r>
      <w:r w:rsidRPr="00A37A62">
        <w:t xml:space="preserve"> to execute programs that focus on </w:t>
      </w:r>
      <w:r w:rsidR="004112EA">
        <w:t xml:space="preserve">the </w:t>
      </w:r>
      <w:r w:rsidRPr="00A37A62">
        <w:t xml:space="preserve">enhancement of the </w:t>
      </w:r>
      <w:r w:rsidR="0033767C">
        <w:t xml:space="preserve">undergraduate </w:t>
      </w:r>
      <w:r w:rsidRPr="00A37A62">
        <w:t xml:space="preserve">students’ experience. </w:t>
      </w:r>
    </w:p>
    <w:p w:rsidR="00BB1B38" w:rsidRDefault="00BB1B38" w:rsidP="00BB1B38">
      <w:pPr>
        <w:pStyle w:val="ListParagraph"/>
        <w:numPr>
          <w:ilvl w:val="0"/>
          <w:numId w:val="5"/>
        </w:numPr>
      </w:pPr>
      <w:r w:rsidRPr="00A37A62">
        <w:t>First Year Orientation Sessions – We held two sets of orientation session</w:t>
      </w:r>
      <w:r w:rsidR="0033767C">
        <w:t>s</w:t>
      </w:r>
      <w:r w:rsidRPr="00A37A62">
        <w:t xml:space="preserve"> July and August.  </w:t>
      </w:r>
      <w:r w:rsidR="0033767C">
        <w:t>S</w:t>
      </w:r>
      <w:r w:rsidRPr="00A37A62">
        <w:t>incere thank</w:t>
      </w:r>
      <w:r w:rsidR="004112EA">
        <w:t>s</w:t>
      </w:r>
      <w:r w:rsidRPr="00A37A62">
        <w:t xml:space="preserve"> to </w:t>
      </w:r>
      <w:r>
        <w:t>A</w:t>
      </w:r>
      <w:r w:rsidR="004112EA">
        <w:t>nup</w:t>
      </w:r>
      <w:r>
        <w:t xml:space="preserve"> Dixit, Jill Tate, Prof. Sarah Mayes-Tang,</w:t>
      </w:r>
      <w:r w:rsidRPr="00A37A62">
        <w:t xml:space="preserve"> Prof</w:t>
      </w:r>
      <w:r>
        <w:t>. Gracia-Saz, Prof. Joe Repka</w:t>
      </w:r>
      <w:r w:rsidR="0033767C">
        <w:t xml:space="preserve">, Prof. </w:t>
      </w:r>
      <w:r w:rsidR="0033767C">
        <w:lastRenderedPageBreak/>
        <w:t>Jacob Tsimerman</w:t>
      </w:r>
      <w:r>
        <w:t xml:space="preserve"> and Prof. Nicholas Hoell </w:t>
      </w:r>
      <w:r w:rsidRPr="00A37A62">
        <w:t xml:space="preserve">who took the time to </w:t>
      </w:r>
      <w:r w:rsidR="0033767C">
        <w:t xml:space="preserve">attend, </w:t>
      </w:r>
      <w:r w:rsidRPr="00A37A62">
        <w:t>counsel and/or demonstrate actual math content</w:t>
      </w:r>
      <w:r>
        <w:t xml:space="preserve"> of the courses </w:t>
      </w:r>
      <w:r w:rsidRPr="00A37A62">
        <w:t xml:space="preserve">so that students </w:t>
      </w:r>
      <w:r>
        <w:t xml:space="preserve">could obtain a preview of </w:t>
      </w:r>
      <w:r w:rsidRPr="00A37A62">
        <w:t xml:space="preserve">the material in the course. </w:t>
      </w:r>
    </w:p>
    <w:p w:rsidR="00BB1B38" w:rsidRDefault="00BB1B38" w:rsidP="00BB1B38">
      <w:pPr>
        <w:pStyle w:val="ListParagraph"/>
        <w:numPr>
          <w:ilvl w:val="0"/>
          <w:numId w:val="5"/>
        </w:numPr>
      </w:pPr>
      <w:r>
        <w:t>We received several request</w:t>
      </w:r>
      <w:r w:rsidR="0033767C">
        <w:t>s</w:t>
      </w:r>
      <w:r>
        <w:t xml:space="preserve"> for the session</w:t>
      </w:r>
      <w:r w:rsidR="0033767C">
        <w:t>s</w:t>
      </w:r>
      <w:r>
        <w:t xml:space="preserve"> to be captured on video so that it could then be made available to the international students and other students who were interested in </w:t>
      </w:r>
      <w:r w:rsidR="008B3214">
        <w:t>sharing</w:t>
      </w:r>
      <w:r>
        <w:t xml:space="preserve"> the experience but who could not attend the session</w:t>
      </w:r>
    </w:p>
    <w:p w:rsidR="00BB1B38" w:rsidRDefault="004112EA" w:rsidP="00BB1B38">
      <w:pPr>
        <w:pStyle w:val="ListParagraph"/>
        <w:numPr>
          <w:ilvl w:val="0"/>
          <w:numId w:val="5"/>
        </w:numPr>
      </w:pPr>
      <w:r>
        <w:rPr>
          <w:noProof/>
          <w:lang w:val="en-US" w:eastAsia="en-US"/>
        </w:rPr>
        <w:drawing>
          <wp:anchor distT="0" distB="0" distL="114300" distR="114300" simplePos="0" relativeHeight="251673600" behindDoc="1" locked="0" layoutInCell="1" allowOverlap="1" wp14:anchorId="161ECDBF" wp14:editId="36C7C62B">
            <wp:simplePos x="0" y="0"/>
            <wp:positionH relativeFrom="margin">
              <wp:align>right</wp:align>
            </wp:positionH>
            <wp:positionV relativeFrom="paragraph">
              <wp:posOffset>812165</wp:posOffset>
            </wp:positionV>
            <wp:extent cx="3973195" cy="2990850"/>
            <wp:effectExtent l="0" t="0" r="8255" b="0"/>
            <wp:wrapThrough wrapText="bothSides">
              <wp:wrapPolygon edited="0">
                <wp:start x="0" y="0"/>
                <wp:lineTo x="0" y="21462"/>
                <wp:lineTo x="21541" y="21462"/>
                <wp:lineTo x="215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3195" cy="2990850"/>
                    </a:xfrm>
                    <a:prstGeom prst="rect">
                      <a:avLst/>
                    </a:prstGeom>
                    <a:noFill/>
                  </pic:spPr>
                </pic:pic>
              </a:graphicData>
            </a:graphic>
            <wp14:sizeRelH relativeFrom="page">
              <wp14:pctWidth>0</wp14:pctWidth>
            </wp14:sizeRelH>
            <wp14:sizeRelV relativeFrom="page">
              <wp14:pctHeight>0</wp14:pctHeight>
            </wp14:sizeRelV>
          </wp:anchor>
        </w:drawing>
      </w:r>
      <w:r w:rsidR="00BB1B38">
        <w:t>The chart</w:t>
      </w:r>
      <w:r w:rsidR="008B3214">
        <w:t xml:space="preserve"> below</w:t>
      </w:r>
      <w:r>
        <w:t>,</w:t>
      </w:r>
      <w:r w:rsidR="00BB1B38">
        <w:t xml:space="preserve"> shows the growth in attendance in these sessions over the past four years.  The number of student</w:t>
      </w:r>
      <w:r w:rsidR="008B3214">
        <w:t>s</w:t>
      </w:r>
      <w:r w:rsidR="00BB1B38">
        <w:t xml:space="preserve"> pr</w:t>
      </w:r>
      <w:r w:rsidR="008B3214">
        <w:t>oviding feedback has also grown and a detailed report on their feedback will be completed at a later date.</w:t>
      </w:r>
    </w:p>
    <w:p w:rsidR="00BB1B38" w:rsidRDefault="00BB1B38" w:rsidP="00BB1B38">
      <w:pPr>
        <w:pStyle w:val="ListParagraph"/>
      </w:pPr>
    </w:p>
    <w:p w:rsidR="00BB1B38" w:rsidRDefault="00BB1B38" w:rsidP="00BB1B38">
      <w:pPr>
        <w:pStyle w:val="ListParagraph"/>
        <w:numPr>
          <w:ilvl w:val="0"/>
          <w:numId w:val="5"/>
        </w:numPr>
      </w:pPr>
      <w:r w:rsidRPr="00A37A62">
        <w:t xml:space="preserve">Mentorship connections – </w:t>
      </w:r>
      <w:r>
        <w:t>M</w:t>
      </w:r>
      <w:r w:rsidRPr="00A37A62">
        <w:t>entorship</w:t>
      </w:r>
      <w:r>
        <w:t xml:space="preserve"> connections will be kept at </w:t>
      </w:r>
      <w:r w:rsidRPr="00A37A62">
        <w:t>46</w:t>
      </w:r>
      <w:r>
        <w:t>-50</w:t>
      </w:r>
      <w:r w:rsidRPr="00A37A62">
        <w:t xml:space="preserve"> pairs </w:t>
      </w:r>
      <w:r>
        <w:t>for</w:t>
      </w:r>
      <w:r w:rsidRPr="00A37A62">
        <w:t xml:space="preserve"> 2017-2018. The mentee launch event </w:t>
      </w:r>
      <w:r>
        <w:t>is scheduled for this Thursday,</w:t>
      </w:r>
      <w:r w:rsidRPr="00A37A62">
        <w:t xml:space="preserve"> October 26, 2017 and the MentorConnect session will take place in November.  </w:t>
      </w:r>
    </w:p>
    <w:p w:rsidR="00BB1B38" w:rsidRDefault="00BB1B38" w:rsidP="00BB1B38">
      <w:pPr>
        <w:pStyle w:val="ListParagraph"/>
      </w:pPr>
    </w:p>
    <w:p w:rsidR="00BB1B38" w:rsidRDefault="00BB1B38" w:rsidP="008B3214">
      <w:pPr>
        <w:pStyle w:val="ListParagraph"/>
      </w:pPr>
      <w:r w:rsidRPr="00A37A62">
        <w:lastRenderedPageBreak/>
        <w:t>We are inviting faculty</w:t>
      </w:r>
      <w:r w:rsidR="008B3214">
        <w:t xml:space="preserve"> members to volunteer as ment</w:t>
      </w:r>
      <w:r w:rsidR="00607576">
        <w:t xml:space="preserve">ors </w:t>
      </w:r>
      <w:r w:rsidR="008B3214">
        <w:t xml:space="preserve">for undergraduates who </w:t>
      </w:r>
      <w:r w:rsidR="00607576">
        <w:t>are exploring the possibility of</w:t>
      </w:r>
      <w:r w:rsidR="008B3214">
        <w:t xml:space="preserve"> career</w:t>
      </w:r>
      <w:r w:rsidR="00607576">
        <w:t>s</w:t>
      </w:r>
      <w:r w:rsidR="008B3214">
        <w:t xml:space="preserve"> in mathematical research.</w:t>
      </w:r>
    </w:p>
    <w:p w:rsidR="008B3214" w:rsidRPr="00A37A62" w:rsidRDefault="008B3214" w:rsidP="008B3214">
      <w:pPr>
        <w:pStyle w:val="ListParagraph"/>
      </w:pPr>
    </w:p>
    <w:p w:rsidR="00BB1B38" w:rsidRDefault="00BB1B38" w:rsidP="00BB1B38">
      <w:pPr>
        <w:pStyle w:val="ListParagraph"/>
        <w:numPr>
          <w:ilvl w:val="0"/>
          <w:numId w:val="5"/>
        </w:numPr>
      </w:pPr>
      <w:r w:rsidRPr="00A37A62">
        <w:t xml:space="preserve">Peer Study Teams (PST) – The </w:t>
      </w:r>
      <w:r w:rsidR="004112EA">
        <w:t>F</w:t>
      </w:r>
      <w:r w:rsidRPr="00A37A62">
        <w:t xml:space="preserve">aculty of </w:t>
      </w:r>
      <w:r w:rsidR="004112EA">
        <w:t>A</w:t>
      </w:r>
      <w:r w:rsidRPr="00A37A62">
        <w:t>rts and Science has included MAT157Y, MAT240H1 and MAT247H1 in their Peer Study Team Project.</w:t>
      </w:r>
      <w:r>
        <w:t xml:space="preserve"> Students </w:t>
      </w:r>
      <w:r w:rsidR="00F23A6F">
        <w:t>a</w:t>
      </w:r>
      <w:r>
        <w:t>ccess additional</w:t>
      </w:r>
      <w:r w:rsidR="00F23A6F">
        <w:t xml:space="preserve"> math help for </w:t>
      </w:r>
      <w:r>
        <w:t>these courses t</w:t>
      </w:r>
      <w:r w:rsidR="004112EA">
        <w:t>hrough this program.</w:t>
      </w:r>
    </w:p>
    <w:p w:rsidR="00BB1B38" w:rsidRPr="00A37A62" w:rsidRDefault="00BB1B38" w:rsidP="00BB1B38">
      <w:pPr>
        <w:pStyle w:val="ListParagraph"/>
      </w:pPr>
    </w:p>
    <w:p w:rsidR="00F23A6F" w:rsidRDefault="00BB1B38" w:rsidP="00BB1B38">
      <w:pPr>
        <w:pStyle w:val="ListParagraph"/>
        <w:numPr>
          <w:ilvl w:val="0"/>
          <w:numId w:val="5"/>
        </w:numPr>
      </w:pPr>
      <w:r>
        <w:t xml:space="preserve">Co-Curricular Credits were assigned to all the </w:t>
      </w:r>
      <w:r w:rsidR="00CE07E4">
        <w:t>student</w:t>
      </w:r>
      <w:r w:rsidR="00F23A6F">
        <w:t xml:space="preserve">s who wrote the PUTNAM competition and the </w:t>
      </w:r>
      <w:r w:rsidR="00CE07E4">
        <w:t>volunteers</w:t>
      </w:r>
      <w:r>
        <w:t xml:space="preserve"> in the Mathmakers </w:t>
      </w:r>
      <w:r w:rsidR="00CE07E4">
        <w:t>Activity</w:t>
      </w:r>
      <w:r w:rsidR="00F23A6F">
        <w:t>.</w:t>
      </w:r>
    </w:p>
    <w:p w:rsidR="00F23A6F" w:rsidRDefault="00F23A6F" w:rsidP="00F23A6F">
      <w:pPr>
        <w:pStyle w:val="ListParagraph"/>
      </w:pPr>
    </w:p>
    <w:p w:rsidR="00BB1B38" w:rsidRDefault="00BB1B38" w:rsidP="00BB1B38">
      <w:pPr>
        <w:pStyle w:val="ListParagraph"/>
        <w:numPr>
          <w:ilvl w:val="0"/>
          <w:numId w:val="5"/>
        </w:numPr>
      </w:pPr>
      <w:r w:rsidRPr="00A37A62">
        <w:t>First-year Learning Communities – The MAT137Y and MAT157Y1 FLC communities are currently thriving with faculty supervision from Professor Joe Repka and Joel Kamnitzer.</w:t>
      </w:r>
      <w:r w:rsidR="00F23A6F">
        <w:t xml:space="preserve"> The peer leader for MAT157Y1 is Jordan Hoffman</w:t>
      </w:r>
      <w:r w:rsidR="004112EA">
        <w:t>,</w:t>
      </w:r>
      <w:r w:rsidR="00F23A6F">
        <w:t xml:space="preserve"> she is assisted by Chengjin Liu while the MAT137Y1</w:t>
      </w:r>
      <w:r w:rsidR="004112EA">
        <w:t xml:space="preserve"> FLC</w:t>
      </w:r>
      <w:r w:rsidR="00F23A6F">
        <w:t xml:space="preserve"> is being led by Yunjing Li who is assisted by Shawn</w:t>
      </w:r>
      <w:r w:rsidR="00D255BD">
        <w:t xml:space="preserve"> Soobramanie.</w:t>
      </w:r>
    </w:p>
    <w:p w:rsidR="00D255BD" w:rsidRDefault="00D255BD" w:rsidP="00D255BD">
      <w:pPr>
        <w:pStyle w:val="ListParagraph"/>
      </w:pPr>
    </w:p>
    <w:p w:rsidR="00BB1B38" w:rsidRDefault="00BB1B38" w:rsidP="00BB1B38">
      <w:pPr>
        <w:pStyle w:val="ListParagraph"/>
        <w:numPr>
          <w:ilvl w:val="0"/>
          <w:numId w:val="5"/>
        </w:numPr>
      </w:pPr>
      <w:r w:rsidRPr="00A37A62">
        <w:t>Undergraduate Math Competition</w:t>
      </w:r>
      <w:r>
        <w:t xml:space="preserve"> was held on March 12, 2017. The results were as follows:</w:t>
      </w:r>
    </w:p>
    <w:p w:rsidR="00BB1B38" w:rsidRDefault="00BB1B38" w:rsidP="00BB1B38">
      <w:pPr>
        <w:pStyle w:val="ListParagraph"/>
        <w:numPr>
          <w:ilvl w:val="1"/>
          <w:numId w:val="5"/>
        </w:numPr>
      </w:pPr>
      <w:r>
        <w:t>Michael Chow – 1</w:t>
      </w:r>
      <w:r w:rsidRPr="0075039C">
        <w:rPr>
          <w:vertAlign w:val="superscript"/>
        </w:rPr>
        <w:t>st</w:t>
      </w:r>
      <w:r>
        <w:t xml:space="preserve"> place</w:t>
      </w:r>
    </w:p>
    <w:p w:rsidR="00BB1B38" w:rsidRDefault="00BB1B38" w:rsidP="00BB1B38">
      <w:pPr>
        <w:pStyle w:val="ListParagraph"/>
        <w:numPr>
          <w:ilvl w:val="1"/>
          <w:numId w:val="5"/>
        </w:numPr>
      </w:pPr>
      <w:r>
        <w:t>Shuyang Shen – 2</w:t>
      </w:r>
      <w:r w:rsidRPr="0075039C">
        <w:rPr>
          <w:vertAlign w:val="superscript"/>
        </w:rPr>
        <w:t>nd</w:t>
      </w:r>
      <w:r>
        <w:t xml:space="preserve"> place</w:t>
      </w:r>
    </w:p>
    <w:p w:rsidR="00BB1B38" w:rsidRDefault="00BB1B38" w:rsidP="00BB1B38">
      <w:pPr>
        <w:pStyle w:val="ListParagraph"/>
        <w:numPr>
          <w:ilvl w:val="1"/>
          <w:numId w:val="5"/>
        </w:numPr>
      </w:pPr>
      <w:r>
        <w:t>Rafael Aznar – 3</w:t>
      </w:r>
      <w:r w:rsidRPr="0075039C">
        <w:rPr>
          <w:vertAlign w:val="superscript"/>
        </w:rPr>
        <w:t>rd</w:t>
      </w:r>
      <w:r>
        <w:t xml:space="preserve"> place</w:t>
      </w:r>
    </w:p>
    <w:p w:rsidR="00BB1B38" w:rsidRDefault="00BB1B38" w:rsidP="00BB1B38">
      <w:pPr>
        <w:pStyle w:val="ListParagraph"/>
        <w:numPr>
          <w:ilvl w:val="1"/>
          <w:numId w:val="5"/>
        </w:numPr>
      </w:pPr>
      <w:r>
        <w:t>Andrey Khesin – 4</w:t>
      </w:r>
      <w:r w:rsidRPr="0075039C">
        <w:rPr>
          <w:vertAlign w:val="superscript"/>
        </w:rPr>
        <w:t>th</w:t>
      </w:r>
      <w:r>
        <w:t xml:space="preserve"> place</w:t>
      </w:r>
    </w:p>
    <w:p w:rsidR="00BB1B38" w:rsidRDefault="00BB1B38" w:rsidP="00BB1B38">
      <w:pPr>
        <w:pStyle w:val="ListParagraph"/>
        <w:numPr>
          <w:ilvl w:val="1"/>
          <w:numId w:val="5"/>
        </w:numPr>
      </w:pPr>
      <w:r>
        <w:t>Dmitry Paramonov and Jiangtian Yao – 5</w:t>
      </w:r>
      <w:r w:rsidRPr="0075039C">
        <w:rPr>
          <w:vertAlign w:val="superscript"/>
        </w:rPr>
        <w:t>th</w:t>
      </w:r>
      <w:r>
        <w:t xml:space="preserve"> place</w:t>
      </w:r>
    </w:p>
    <w:p w:rsidR="00D255BD" w:rsidRDefault="00D255BD" w:rsidP="00D255BD">
      <w:pPr>
        <w:pStyle w:val="ListParagraph"/>
      </w:pPr>
    </w:p>
    <w:p w:rsidR="00D255BD" w:rsidRDefault="00D255BD" w:rsidP="00D255BD">
      <w:pPr>
        <w:pStyle w:val="ListParagraph"/>
        <w:numPr>
          <w:ilvl w:val="0"/>
          <w:numId w:val="5"/>
        </w:numPr>
      </w:pPr>
      <w:r>
        <w:t>b2B – Backpack to Briefcase</w:t>
      </w:r>
    </w:p>
    <w:p w:rsidR="00D255BD" w:rsidRDefault="00D255BD" w:rsidP="00D255BD">
      <w:pPr>
        <w:ind w:left="360"/>
      </w:pPr>
      <w:r>
        <w:t>FAS plan</w:t>
      </w:r>
      <w:r w:rsidR="008B3214">
        <w:t>s</w:t>
      </w:r>
      <w:r>
        <w:t xml:space="preserve"> and execute career focused sessions for students in the mathematical sciences the students are usually encouraged to register through the undergraduate blog and e-mail reminders.</w:t>
      </w:r>
    </w:p>
    <w:p w:rsidR="00D255BD" w:rsidRDefault="00D255BD" w:rsidP="00D255BD"/>
    <w:p w:rsidR="00BB1B38" w:rsidRDefault="00BB1B38" w:rsidP="00BB1B38">
      <w:pPr>
        <w:pStyle w:val="ListParagraph"/>
        <w:numPr>
          <w:ilvl w:val="0"/>
          <w:numId w:val="5"/>
        </w:numPr>
      </w:pPr>
      <w:r>
        <w:t>Mathmakers Club</w:t>
      </w:r>
    </w:p>
    <w:p w:rsidR="00BB1B38" w:rsidRDefault="00BB1B38" w:rsidP="00BB1B38">
      <w:pPr>
        <w:pStyle w:val="ListParagraph"/>
      </w:pPr>
      <w:r>
        <w:t>The format of the Mathmakers Club was changed for the 2016-2017 academic year</w:t>
      </w:r>
      <w:r w:rsidR="008B3214">
        <w:t xml:space="preserve">. The </w:t>
      </w:r>
      <w:r>
        <w:t>activities w</w:t>
      </w:r>
      <w:r w:rsidR="008B3214">
        <w:t>ere scheduled for the</w:t>
      </w:r>
      <w:r>
        <w:t xml:space="preserve"> first </w:t>
      </w:r>
      <w:r w:rsidR="008B3214">
        <w:t xml:space="preserve">six weeks in the first </w:t>
      </w:r>
      <w:r>
        <w:t xml:space="preserve">and second semester and </w:t>
      </w:r>
      <w:r w:rsidR="008B3214">
        <w:t xml:space="preserve">for the first time, </w:t>
      </w:r>
      <w:r>
        <w:t>the final graduation activities were held at Lord Lansdowne Public School. Prof</w:t>
      </w:r>
      <w:r w:rsidR="008B3214">
        <w:t>.</w:t>
      </w:r>
      <w:r>
        <w:t xml:space="preserve"> Kumar Murty and Prof</w:t>
      </w:r>
      <w:r w:rsidR="008B3214">
        <w:t>.</w:t>
      </w:r>
      <w:r>
        <w:t xml:space="preserve"> Mary Pugh attended and issued the certificates to the eager participants</w:t>
      </w:r>
    </w:p>
    <w:p w:rsidR="00D255BD" w:rsidRDefault="00BB1B38" w:rsidP="00BB1B38">
      <w:pPr>
        <w:pStyle w:val="ListParagraph"/>
        <w:numPr>
          <w:ilvl w:val="1"/>
          <w:numId w:val="5"/>
        </w:numPr>
      </w:pPr>
      <w:r>
        <w:t xml:space="preserve">46 students </w:t>
      </w:r>
      <w:r w:rsidR="008B3214">
        <w:t>were registered in the program</w:t>
      </w:r>
    </w:p>
    <w:p w:rsidR="00BB1B38" w:rsidRDefault="00D255BD" w:rsidP="00BB1B38">
      <w:pPr>
        <w:pStyle w:val="ListParagraph"/>
        <w:numPr>
          <w:ilvl w:val="1"/>
          <w:numId w:val="5"/>
        </w:numPr>
      </w:pPr>
      <w:r>
        <w:t>The U of T student volunteers were all members of the Concepts of Elementary Math, MAT329Y1</w:t>
      </w:r>
      <w:r w:rsidR="008B3214">
        <w:t>, course</w:t>
      </w:r>
    </w:p>
    <w:p w:rsidR="00BB1B38" w:rsidRPr="00A37A62" w:rsidRDefault="00BB1B38" w:rsidP="00BB1B38">
      <w:pPr>
        <w:pStyle w:val="ListParagraph"/>
        <w:ind w:left="1440"/>
      </w:pPr>
    </w:p>
    <w:p w:rsidR="00BB1B38" w:rsidRDefault="00BB1B38" w:rsidP="00BB1B38">
      <w:pPr>
        <w:pStyle w:val="ListParagraph"/>
        <w:numPr>
          <w:ilvl w:val="0"/>
          <w:numId w:val="5"/>
        </w:numPr>
      </w:pPr>
      <w:r>
        <w:t>Math Union</w:t>
      </w:r>
    </w:p>
    <w:p w:rsidR="00BB1B38" w:rsidRDefault="00BB1B38" w:rsidP="00BB1B38">
      <w:pPr>
        <w:pStyle w:val="ListParagraph"/>
      </w:pPr>
      <w:r>
        <w:t>The 2017-2018 leaders for the Mathematics Union are:</w:t>
      </w:r>
    </w:p>
    <w:p w:rsidR="00BB1B38" w:rsidRDefault="00BB1B38" w:rsidP="00BB1B38">
      <w:pPr>
        <w:pStyle w:val="ListParagraph"/>
        <w:numPr>
          <w:ilvl w:val="1"/>
          <w:numId w:val="5"/>
        </w:numPr>
      </w:pPr>
      <w:r>
        <w:t>President – Calder Morton-Ferguson</w:t>
      </w:r>
    </w:p>
    <w:p w:rsidR="00BB1B38" w:rsidRDefault="00BB1B38" w:rsidP="00BB1B38">
      <w:pPr>
        <w:pStyle w:val="ListParagraph"/>
        <w:numPr>
          <w:ilvl w:val="1"/>
          <w:numId w:val="5"/>
        </w:numPr>
      </w:pPr>
      <w:r>
        <w:t>Secretary – Heather McBrien</w:t>
      </w:r>
    </w:p>
    <w:p w:rsidR="00BB1B38" w:rsidRDefault="00BB1B38" w:rsidP="00BB1B38">
      <w:pPr>
        <w:pStyle w:val="ListParagraph"/>
        <w:numPr>
          <w:ilvl w:val="1"/>
          <w:numId w:val="5"/>
        </w:numPr>
      </w:pPr>
      <w:r>
        <w:t>Treasurer – Vincent Huang</w:t>
      </w:r>
    </w:p>
    <w:p w:rsidR="00BB1B38" w:rsidRDefault="00BB1B38" w:rsidP="00BB1B38">
      <w:pPr>
        <w:pStyle w:val="ListParagraph"/>
        <w:numPr>
          <w:ilvl w:val="1"/>
          <w:numId w:val="5"/>
        </w:numPr>
      </w:pPr>
      <w:r>
        <w:t>Vice President (Communications) – Abhishek Moturu</w:t>
      </w:r>
    </w:p>
    <w:p w:rsidR="00BB1B38" w:rsidRDefault="00BB1B38" w:rsidP="00BB1B38">
      <w:pPr>
        <w:pStyle w:val="ListParagraph"/>
        <w:numPr>
          <w:ilvl w:val="1"/>
          <w:numId w:val="5"/>
        </w:numPr>
      </w:pPr>
      <w:r>
        <w:t>Vice President (Academics) – Jessica Liu</w:t>
      </w:r>
    </w:p>
    <w:p w:rsidR="00BB1B38" w:rsidRDefault="00BB1B38" w:rsidP="00BB1B38">
      <w:pPr>
        <w:pStyle w:val="ListParagraph"/>
        <w:numPr>
          <w:ilvl w:val="1"/>
          <w:numId w:val="5"/>
        </w:numPr>
      </w:pPr>
      <w:r>
        <w:t>Vice President (Social) – Noelle Huang</w:t>
      </w:r>
    </w:p>
    <w:p w:rsidR="00BB1B38" w:rsidRDefault="00D255BD" w:rsidP="00D255BD">
      <w:pPr>
        <w:ind w:left="720"/>
      </w:pPr>
      <w:r>
        <w:t>Calder and Abhishek, are also the current undergraduate representatives on the Undergraduate Committee.</w:t>
      </w:r>
    </w:p>
    <w:p w:rsidR="00D255BD" w:rsidRDefault="00D255BD" w:rsidP="00D255BD">
      <w:pPr>
        <w:pStyle w:val="ListParagraph"/>
      </w:pPr>
    </w:p>
    <w:p w:rsidR="00BB1B38" w:rsidRDefault="00BB1B38" w:rsidP="00BB1B38">
      <w:pPr>
        <w:pStyle w:val="ListParagraph"/>
        <w:numPr>
          <w:ilvl w:val="0"/>
          <w:numId w:val="5"/>
        </w:numPr>
      </w:pPr>
      <w:r>
        <w:t>We request your continued participation in these undergraduate activities as we continue to work on improving the students’ experience.</w:t>
      </w:r>
    </w:p>
    <w:p w:rsidR="00BB1B38" w:rsidRDefault="00BB1B38" w:rsidP="00BB1B38">
      <w:pPr>
        <w:suppressAutoHyphens w:val="0"/>
      </w:pPr>
    </w:p>
    <w:p w:rsidR="008B3214" w:rsidRDefault="000C03A4" w:rsidP="00BB1B38">
      <w:pPr>
        <w:suppressAutoHyphens w:val="0"/>
        <w:rPr>
          <w:b/>
        </w:rPr>
      </w:pPr>
      <w:r w:rsidRPr="00AD7A6D">
        <w:rPr>
          <w:b/>
        </w:rPr>
        <w:lastRenderedPageBreak/>
        <w:t>Appendices</w:t>
      </w:r>
      <w:r>
        <w:rPr>
          <w:rStyle w:val="FootnoteReference"/>
        </w:rPr>
        <w:footnoteReference w:id="1"/>
      </w:r>
    </w:p>
    <w:p w:rsidR="00AD7A6D" w:rsidRDefault="00715878" w:rsidP="00BB1B38">
      <w:pPr>
        <w:suppressAutoHyphens w:val="0"/>
      </w:pPr>
      <w:r>
        <w:rPr>
          <w:b/>
          <w:noProof/>
          <w:sz w:val="32"/>
          <w:szCs w:val="32"/>
          <w:lang w:val="en-US" w:eastAsia="en-US"/>
        </w:rPr>
        <w:drawing>
          <wp:inline distT="0" distB="0" distL="0" distR="0" wp14:anchorId="290A38CA" wp14:editId="083156B5">
            <wp:extent cx="4525010" cy="3079750"/>
            <wp:effectExtent l="0" t="0" r="889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8097" cy="3081851"/>
                    </a:xfrm>
                    <a:prstGeom prst="rect">
                      <a:avLst/>
                    </a:prstGeom>
                    <a:noFill/>
                  </pic:spPr>
                </pic:pic>
              </a:graphicData>
            </a:graphic>
          </wp:inline>
        </w:drawing>
      </w:r>
    </w:p>
    <w:p w:rsidR="00715878" w:rsidRDefault="00715878" w:rsidP="00BB1B38">
      <w:pPr>
        <w:suppressAutoHyphens w:val="0"/>
      </w:pPr>
      <w:r>
        <w:rPr>
          <w:b/>
          <w:noProof/>
          <w:sz w:val="32"/>
          <w:szCs w:val="32"/>
          <w:lang w:val="en-US" w:eastAsia="en-US"/>
        </w:rPr>
        <w:drawing>
          <wp:inline distT="0" distB="0" distL="0" distR="0" wp14:anchorId="67D80F81" wp14:editId="66D7B914">
            <wp:extent cx="4525813" cy="2330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25813" cy="2330450"/>
                    </a:xfrm>
                    <a:prstGeom prst="rect">
                      <a:avLst/>
                    </a:prstGeom>
                    <a:noFill/>
                  </pic:spPr>
                </pic:pic>
              </a:graphicData>
            </a:graphic>
          </wp:inline>
        </w:drawing>
      </w:r>
    </w:p>
    <w:p w:rsidR="00715878" w:rsidRDefault="00715878" w:rsidP="00BB1B38">
      <w:pPr>
        <w:suppressAutoHyphens w:val="0"/>
      </w:pPr>
    </w:p>
    <w:p w:rsidR="00715878" w:rsidRDefault="00715878" w:rsidP="00BB1B38">
      <w:pPr>
        <w:suppressAutoHyphens w:val="0"/>
      </w:pPr>
      <w:r>
        <w:rPr>
          <w:noProof/>
          <w:lang w:val="en-US" w:eastAsia="en-US"/>
        </w:rPr>
        <w:drawing>
          <wp:inline distT="0" distB="0" distL="0" distR="0" wp14:anchorId="7CE41FB6" wp14:editId="56A17516">
            <wp:extent cx="4525010" cy="2927350"/>
            <wp:effectExtent l="0" t="0" r="889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35039" cy="2933838"/>
                    </a:xfrm>
                    <a:prstGeom prst="rect">
                      <a:avLst/>
                    </a:prstGeom>
                    <a:noFill/>
                  </pic:spPr>
                </pic:pic>
              </a:graphicData>
            </a:graphic>
          </wp:inline>
        </w:drawing>
      </w:r>
    </w:p>
    <w:p w:rsidR="004112EA" w:rsidRPr="00BB1B38" w:rsidRDefault="00715878" w:rsidP="00BB1B38">
      <w:pPr>
        <w:suppressAutoHyphens w:val="0"/>
        <w:sectPr w:rsidR="004112EA" w:rsidRPr="00BB1B38" w:rsidSect="008B3214">
          <w:headerReference w:type="default" r:id="rId22"/>
          <w:footerReference w:type="default" r:id="rId23"/>
          <w:pgSz w:w="15840" w:h="12240" w:orient="landscape" w:code="1"/>
          <w:pgMar w:top="576" w:right="432" w:bottom="432" w:left="432" w:header="0" w:footer="0" w:gutter="0"/>
          <w:cols w:num="2" w:space="720"/>
          <w:formProt w:val="0"/>
          <w:docGrid w:linePitch="360"/>
        </w:sectPr>
      </w:pPr>
      <w:r>
        <w:rPr>
          <w:b/>
          <w:noProof/>
          <w:sz w:val="32"/>
          <w:szCs w:val="32"/>
          <w:lang w:val="en-US" w:eastAsia="en-US"/>
        </w:rPr>
        <w:drawing>
          <wp:inline distT="0" distB="0" distL="0" distR="0" wp14:anchorId="0949AA76" wp14:editId="6A1D1E0C">
            <wp:extent cx="4476750" cy="24892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0" cy="2489200"/>
                    </a:xfrm>
                    <a:prstGeom prst="rect">
                      <a:avLst/>
                    </a:prstGeom>
                    <a:noFill/>
                  </pic:spPr>
                </pic:pic>
              </a:graphicData>
            </a:graphic>
          </wp:inline>
        </w:drawing>
      </w:r>
    </w:p>
    <w:p w:rsidR="006D0AF4" w:rsidRDefault="006D0AF4" w:rsidP="00000A1E"/>
    <w:sectPr w:rsidR="006D0AF4" w:rsidSect="00B94793">
      <w:headerReference w:type="default" r:id="rId25"/>
      <w:footerReference w:type="default" r:id="rId26"/>
      <w:pgSz w:w="15840" w:h="12240" w:orient="landscape" w:code="1"/>
      <w:pgMar w:top="576" w:right="432" w:bottom="432" w:left="432" w:header="0" w:footer="0" w:gutter="0"/>
      <w:cols w:num="2" w:space="28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B9" w:rsidRDefault="00AB1BB9" w:rsidP="00D46824">
      <w:pPr>
        <w:spacing w:after="0" w:line="240" w:lineRule="auto"/>
      </w:pPr>
      <w:r>
        <w:separator/>
      </w:r>
    </w:p>
  </w:endnote>
  <w:endnote w:type="continuationSeparator" w:id="0">
    <w:p w:rsidR="00AB1BB9" w:rsidRDefault="00AB1BB9" w:rsidP="00D4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Arial">
    <w:panose1 w:val="00000000000000000000"/>
    <w:charset w:val="00"/>
    <w:family w:val="roman"/>
    <w:notTrueType/>
    <w:pitch w:val="default"/>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40685"/>
      <w:docPartObj>
        <w:docPartGallery w:val="Page Numbers (Bottom of Page)"/>
        <w:docPartUnique/>
      </w:docPartObj>
    </w:sdtPr>
    <w:sdtEndPr>
      <w:rPr>
        <w:noProof/>
      </w:rPr>
    </w:sdtEndPr>
    <w:sdtContent>
      <w:p w:rsidR="00BB1B38" w:rsidRDefault="00BB1B38">
        <w:pPr>
          <w:pStyle w:val="Footer"/>
        </w:pPr>
        <w:r>
          <w:fldChar w:fldCharType="begin"/>
        </w:r>
        <w:r>
          <w:instrText xml:space="preserve"> PAGE   \* MERGEFORMAT </w:instrText>
        </w:r>
        <w:r>
          <w:fldChar w:fldCharType="separate"/>
        </w:r>
        <w:r w:rsidR="009E490F">
          <w:rPr>
            <w:noProof/>
          </w:rPr>
          <w:t>7</w:t>
        </w:r>
        <w:r>
          <w:rPr>
            <w:noProof/>
          </w:rPr>
          <w:fldChar w:fldCharType="end"/>
        </w:r>
      </w:p>
    </w:sdtContent>
  </w:sdt>
  <w:p w:rsidR="00BB1B38" w:rsidRDefault="00BB1B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05454"/>
      <w:docPartObj>
        <w:docPartGallery w:val="Page Numbers (Bottom of Page)"/>
        <w:docPartUnique/>
      </w:docPartObj>
    </w:sdtPr>
    <w:sdtEndPr>
      <w:rPr>
        <w:noProof/>
      </w:rPr>
    </w:sdtEndPr>
    <w:sdtContent>
      <w:p w:rsidR="001960A8" w:rsidRDefault="001960A8">
        <w:pPr>
          <w:pStyle w:val="Footer"/>
        </w:pPr>
        <w:r>
          <w:fldChar w:fldCharType="begin"/>
        </w:r>
        <w:r>
          <w:instrText xml:space="preserve"> PAGE   \* MERGEFORMAT </w:instrText>
        </w:r>
        <w:r>
          <w:fldChar w:fldCharType="separate"/>
        </w:r>
        <w:r w:rsidR="009E490F">
          <w:rPr>
            <w:noProof/>
          </w:rPr>
          <w:t>9</w:t>
        </w:r>
        <w:r>
          <w:rPr>
            <w:noProof/>
          </w:rPr>
          <w:fldChar w:fldCharType="end"/>
        </w:r>
      </w:p>
    </w:sdtContent>
  </w:sdt>
  <w:p w:rsidR="001960A8" w:rsidRDefault="001960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B9" w:rsidRDefault="00AB1BB9" w:rsidP="00D46824">
      <w:pPr>
        <w:spacing w:after="0" w:line="240" w:lineRule="auto"/>
      </w:pPr>
      <w:r>
        <w:separator/>
      </w:r>
    </w:p>
  </w:footnote>
  <w:footnote w:type="continuationSeparator" w:id="0">
    <w:p w:rsidR="00AB1BB9" w:rsidRDefault="00AB1BB9" w:rsidP="00D46824">
      <w:pPr>
        <w:spacing w:after="0" w:line="240" w:lineRule="auto"/>
      </w:pPr>
      <w:r>
        <w:continuationSeparator/>
      </w:r>
    </w:p>
  </w:footnote>
  <w:footnote w:id="1">
    <w:p w:rsidR="000C03A4" w:rsidRPr="000C03A4" w:rsidRDefault="000C03A4" w:rsidP="000C03A4">
      <w:pPr>
        <w:pStyle w:val="ListParagraph"/>
        <w:rPr>
          <w:lang w:val="en-US"/>
        </w:rPr>
      </w:pPr>
      <w:r>
        <w:rPr>
          <w:rStyle w:val="FootnoteReference"/>
        </w:rPr>
        <w:footnoteRef/>
      </w:r>
      <w:r>
        <w:t xml:space="preserve"> </w:t>
      </w:r>
      <w:r>
        <w:rPr>
          <w:sz w:val="16"/>
          <w:szCs w:val="16"/>
        </w:rPr>
        <w:t>The  October 2, 2017 da</w:t>
      </w:r>
      <w:r w:rsidRPr="000C03A4">
        <w:rPr>
          <w:sz w:val="16"/>
          <w:szCs w:val="16"/>
        </w:rPr>
        <w:t>ta for domestic and international enrolment</w:t>
      </w:r>
      <w:r>
        <w:rPr>
          <w:sz w:val="16"/>
          <w:szCs w:val="16"/>
        </w:rPr>
        <w:t xml:space="preserve"> was </w:t>
      </w:r>
      <w:r w:rsidRPr="000C03A4">
        <w:rPr>
          <w:sz w:val="16"/>
          <w:szCs w:val="16"/>
        </w:rPr>
        <w:t>3154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23" w:rsidRDefault="00840A23" w:rsidP="00840A23">
    <w:pPr>
      <w:jc w:val="center"/>
    </w:pPr>
  </w:p>
  <w:p w:rsidR="00BB1B38" w:rsidRPr="00840A23" w:rsidRDefault="00840A23" w:rsidP="00840A23">
    <w:pPr>
      <w:jc w:val="center"/>
    </w:pPr>
    <w:r>
      <w:t xml:space="preserve">Undergraduate Studies Report, </w:t>
    </w:r>
    <w:r w:rsidRPr="00A37A62">
      <w:t>Dror Bar-Natan</w:t>
    </w:r>
    <w:r>
      <w:t>/Donna Birch</w:t>
    </w:r>
    <w:r>
      <w:rPr>
        <w:b/>
      </w:rPr>
      <w:t xml:space="preserve">                 </w:t>
    </w:r>
    <w:hyperlink r:id="rId1" w:history="1">
      <w:r w:rsidRPr="00054DAC">
        <w:rPr>
          <w:rStyle w:val="Hyperlink"/>
        </w:rPr>
        <w:t>http://drorbn.net/uc</w:t>
      </w:r>
    </w:hyperlink>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A8" w:rsidRDefault="001960A8" w:rsidP="0009584D">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6BA"/>
    <w:multiLevelType w:val="hybridMultilevel"/>
    <w:tmpl w:val="6E8A1450"/>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339"/>
    <w:multiLevelType w:val="hybridMultilevel"/>
    <w:tmpl w:val="8384C8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835507B"/>
    <w:multiLevelType w:val="hybridMultilevel"/>
    <w:tmpl w:val="8C3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B5224"/>
    <w:multiLevelType w:val="multilevel"/>
    <w:tmpl w:val="E93C69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C35DFD"/>
    <w:multiLevelType w:val="hybridMultilevel"/>
    <w:tmpl w:val="4CACB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92981"/>
    <w:multiLevelType w:val="hybridMultilevel"/>
    <w:tmpl w:val="B75A729C"/>
    <w:lvl w:ilvl="0" w:tplc="2146FD44">
      <w:start w:val="3"/>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C729D"/>
    <w:multiLevelType w:val="hybridMultilevel"/>
    <w:tmpl w:val="790063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58EF019E"/>
    <w:multiLevelType w:val="hybridMultilevel"/>
    <w:tmpl w:val="68F4CEAC"/>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7458C"/>
    <w:multiLevelType w:val="hybridMultilevel"/>
    <w:tmpl w:val="E7D456A8"/>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56E59"/>
    <w:multiLevelType w:val="hybridMultilevel"/>
    <w:tmpl w:val="1364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A043A"/>
    <w:multiLevelType w:val="hybridMultilevel"/>
    <w:tmpl w:val="CB9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E56E9"/>
    <w:multiLevelType w:val="hybridMultilevel"/>
    <w:tmpl w:val="02966E1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7D574981"/>
    <w:multiLevelType w:val="multilevel"/>
    <w:tmpl w:val="207A5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F3977AE"/>
    <w:multiLevelType w:val="hybridMultilevel"/>
    <w:tmpl w:val="BA9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D0589"/>
    <w:multiLevelType w:val="hybridMultilevel"/>
    <w:tmpl w:val="EFDA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14"/>
  </w:num>
  <w:num w:numId="6">
    <w:abstractNumId w:val="4"/>
  </w:num>
  <w:num w:numId="7">
    <w:abstractNumId w:val="8"/>
  </w:num>
  <w:num w:numId="8">
    <w:abstractNumId w:val="7"/>
  </w:num>
  <w:num w:numId="9">
    <w:abstractNumId w:val="0"/>
  </w:num>
  <w:num w:numId="10">
    <w:abstractNumId w:val="6"/>
  </w:num>
  <w:num w:numId="11">
    <w:abstractNumId w:val="11"/>
  </w:num>
  <w:num w:numId="12">
    <w:abstractNumId w:val="2"/>
  </w:num>
  <w:num w:numId="13">
    <w:abstractNumId w:val="5"/>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66"/>
    <w:rsid w:val="00000A1E"/>
    <w:rsid w:val="00003F25"/>
    <w:rsid w:val="0002759B"/>
    <w:rsid w:val="00032C85"/>
    <w:rsid w:val="0006558B"/>
    <w:rsid w:val="00092B06"/>
    <w:rsid w:val="0009584D"/>
    <w:rsid w:val="0009641D"/>
    <w:rsid w:val="000A09D7"/>
    <w:rsid w:val="000C03A4"/>
    <w:rsid w:val="000C2E29"/>
    <w:rsid w:val="000D1D09"/>
    <w:rsid w:val="000D4A60"/>
    <w:rsid w:val="001301E6"/>
    <w:rsid w:val="00173AC8"/>
    <w:rsid w:val="00186931"/>
    <w:rsid w:val="001960A8"/>
    <w:rsid w:val="001E1675"/>
    <w:rsid w:val="002023B1"/>
    <w:rsid w:val="0020354D"/>
    <w:rsid w:val="00203D55"/>
    <w:rsid w:val="00212277"/>
    <w:rsid w:val="002166F8"/>
    <w:rsid w:val="00235DF3"/>
    <w:rsid w:val="0025382F"/>
    <w:rsid w:val="00255DD4"/>
    <w:rsid w:val="0027217E"/>
    <w:rsid w:val="00272531"/>
    <w:rsid w:val="00285B7D"/>
    <w:rsid w:val="00286DAB"/>
    <w:rsid w:val="002B0B71"/>
    <w:rsid w:val="002B316E"/>
    <w:rsid w:val="002D2275"/>
    <w:rsid w:val="002E2D91"/>
    <w:rsid w:val="002E5DAB"/>
    <w:rsid w:val="002E6829"/>
    <w:rsid w:val="00307B3C"/>
    <w:rsid w:val="003135BD"/>
    <w:rsid w:val="0033767C"/>
    <w:rsid w:val="003466F0"/>
    <w:rsid w:val="00374B04"/>
    <w:rsid w:val="0039241F"/>
    <w:rsid w:val="003971EE"/>
    <w:rsid w:val="003C197B"/>
    <w:rsid w:val="003C4103"/>
    <w:rsid w:val="003C53F0"/>
    <w:rsid w:val="003D3602"/>
    <w:rsid w:val="003E50FE"/>
    <w:rsid w:val="004112EA"/>
    <w:rsid w:val="00432497"/>
    <w:rsid w:val="00444E2D"/>
    <w:rsid w:val="004457E8"/>
    <w:rsid w:val="0045699A"/>
    <w:rsid w:val="00462C9B"/>
    <w:rsid w:val="004648C2"/>
    <w:rsid w:val="00477E33"/>
    <w:rsid w:val="00480D46"/>
    <w:rsid w:val="0049331B"/>
    <w:rsid w:val="004B4CD6"/>
    <w:rsid w:val="004B78D7"/>
    <w:rsid w:val="004C0A73"/>
    <w:rsid w:val="004D23F7"/>
    <w:rsid w:val="004F0FB7"/>
    <w:rsid w:val="00522380"/>
    <w:rsid w:val="00536621"/>
    <w:rsid w:val="005771D1"/>
    <w:rsid w:val="005A03BD"/>
    <w:rsid w:val="005E1101"/>
    <w:rsid w:val="005E1BB9"/>
    <w:rsid w:val="006031FD"/>
    <w:rsid w:val="00607576"/>
    <w:rsid w:val="00616971"/>
    <w:rsid w:val="0062080E"/>
    <w:rsid w:val="006252B6"/>
    <w:rsid w:val="00632F6E"/>
    <w:rsid w:val="006437FC"/>
    <w:rsid w:val="006462A6"/>
    <w:rsid w:val="00651A8E"/>
    <w:rsid w:val="0066269A"/>
    <w:rsid w:val="00676952"/>
    <w:rsid w:val="0069671E"/>
    <w:rsid w:val="006B4366"/>
    <w:rsid w:val="006B54BC"/>
    <w:rsid w:val="006D0AF4"/>
    <w:rsid w:val="006E69CB"/>
    <w:rsid w:val="00715878"/>
    <w:rsid w:val="00724943"/>
    <w:rsid w:val="00736E45"/>
    <w:rsid w:val="00753846"/>
    <w:rsid w:val="00755B20"/>
    <w:rsid w:val="00761638"/>
    <w:rsid w:val="007658AB"/>
    <w:rsid w:val="00772997"/>
    <w:rsid w:val="007A178C"/>
    <w:rsid w:val="007B1D67"/>
    <w:rsid w:val="007D1E66"/>
    <w:rsid w:val="007E1336"/>
    <w:rsid w:val="007E740A"/>
    <w:rsid w:val="008017F3"/>
    <w:rsid w:val="00810A6D"/>
    <w:rsid w:val="00817940"/>
    <w:rsid w:val="00821B9D"/>
    <w:rsid w:val="00824779"/>
    <w:rsid w:val="00840A23"/>
    <w:rsid w:val="008414AD"/>
    <w:rsid w:val="00864D81"/>
    <w:rsid w:val="00883AFD"/>
    <w:rsid w:val="008846E3"/>
    <w:rsid w:val="00886786"/>
    <w:rsid w:val="008B3214"/>
    <w:rsid w:val="008D4CC0"/>
    <w:rsid w:val="00900486"/>
    <w:rsid w:val="0090511A"/>
    <w:rsid w:val="00905A1A"/>
    <w:rsid w:val="00906B8B"/>
    <w:rsid w:val="009160F4"/>
    <w:rsid w:val="00916711"/>
    <w:rsid w:val="00961EDC"/>
    <w:rsid w:val="009734D7"/>
    <w:rsid w:val="009818E6"/>
    <w:rsid w:val="009836AE"/>
    <w:rsid w:val="009B1D87"/>
    <w:rsid w:val="009E4825"/>
    <w:rsid w:val="009E490F"/>
    <w:rsid w:val="009F3097"/>
    <w:rsid w:val="00A03480"/>
    <w:rsid w:val="00A13B59"/>
    <w:rsid w:val="00A33C20"/>
    <w:rsid w:val="00A368AA"/>
    <w:rsid w:val="00A37A62"/>
    <w:rsid w:val="00A63DFE"/>
    <w:rsid w:val="00A9039F"/>
    <w:rsid w:val="00AB1BB9"/>
    <w:rsid w:val="00AB314C"/>
    <w:rsid w:val="00AB4C4A"/>
    <w:rsid w:val="00AD7A6D"/>
    <w:rsid w:val="00B40CD6"/>
    <w:rsid w:val="00B42D64"/>
    <w:rsid w:val="00B60898"/>
    <w:rsid w:val="00B8545A"/>
    <w:rsid w:val="00B86454"/>
    <w:rsid w:val="00B87085"/>
    <w:rsid w:val="00B94793"/>
    <w:rsid w:val="00BA27A4"/>
    <w:rsid w:val="00BA6205"/>
    <w:rsid w:val="00BB0C84"/>
    <w:rsid w:val="00BB1B38"/>
    <w:rsid w:val="00BF288F"/>
    <w:rsid w:val="00C164AF"/>
    <w:rsid w:val="00C2731C"/>
    <w:rsid w:val="00C33A8D"/>
    <w:rsid w:val="00C44A89"/>
    <w:rsid w:val="00C94502"/>
    <w:rsid w:val="00CA5E84"/>
    <w:rsid w:val="00CE07E4"/>
    <w:rsid w:val="00CE3A02"/>
    <w:rsid w:val="00D25136"/>
    <w:rsid w:val="00D255BD"/>
    <w:rsid w:val="00D460BC"/>
    <w:rsid w:val="00D46824"/>
    <w:rsid w:val="00D57345"/>
    <w:rsid w:val="00D7021D"/>
    <w:rsid w:val="00D7554F"/>
    <w:rsid w:val="00D80956"/>
    <w:rsid w:val="00D87062"/>
    <w:rsid w:val="00D96BAF"/>
    <w:rsid w:val="00DA394D"/>
    <w:rsid w:val="00DC13D8"/>
    <w:rsid w:val="00DC6301"/>
    <w:rsid w:val="00DC6B31"/>
    <w:rsid w:val="00E00E89"/>
    <w:rsid w:val="00E04A4B"/>
    <w:rsid w:val="00E10826"/>
    <w:rsid w:val="00E17630"/>
    <w:rsid w:val="00E3300F"/>
    <w:rsid w:val="00E3556C"/>
    <w:rsid w:val="00E46A83"/>
    <w:rsid w:val="00E64CA2"/>
    <w:rsid w:val="00E83B1D"/>
    <w:rsid w:val="00E91294"/>
    <w:rsid w:val="00E9171C"/>
    <w:rsid w:val="00EF0C5F"/>
    <w:rsid w:val="00F23A6F"/>
    <w:rsid w:val="00F32DAD"/>
    <w:rsid w:val="00F7124E"/>
    <w:rsid w:val="00F85808"/>
    <w:rsid w:val="00FA09DD"/>
    <w:rsid w:val="00FA69EF"/>
    <w:rsid w:val="00FA79A9"/>
    <w:rsid w:val="00FB0C4D"/>
    <w:rsid w:val="00FB558B"/>
    <w:rsid w:val="00FC03B3"/>
    <w:rsid w:val="00FE21CC"/>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9434E"/>
  <w15:docId w15:val="{ACC0C301-C172-4F45-B228-BD1BB68B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SimSun;宋体"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false">
    <w:name w:val="WW8Num2zfalse"/>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paragraph" w:customStyle="1" w:styleId="Heading">
    <w:name w:val="Heading"/>
    <w:basedOn w:val="Normal"/>
    <w:next w:val="TextBody"/>
    <w:pPr>
      <w:keepNext/>
      <w:spacing w:before="240" w:after="120"/>
    </w:pPr>
    <w:rPr>
      <w:rFonts w:ascii="Liberation Sans;Arial" w:eastAsia="AR PL UMing HK" w:hAnsi="Liberation Sans;Arial"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uiPriority w:val="35"/>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character" w:styleId="Hyperlink">
    <w:name w:val="Hyperlink"/>
    <w:basedOn w:val="DefaultParagraphFont"/>
    <w:uiPriority w:val="99"/>
    <w:unhideWhenUsed/>
    <w:rsid w:val="003466F0"/>
    <w:rPr>
      <w:color w:val="0000FF" w:themeColor="hyperlink"/>
      <w:u w:val="single"/>
    </w:rPr>
  </w:style>
  <w:style w:type="paragraph" w:styleId="BalloonText">
    <w:name w:val="Balloon Text"/>
    <w:basedOn w:val="Normal"/>
    <w:link w:val="BalloonTextChar"/>
    <w:uiPriority w:val="99"/>
    <w:semiHidden/>
    <w:unhideWhenUsed/>
    <w:rsid w:val="0080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F3"/>
    <w:rPr>
      <w:rFonts w:ascii="Tahoma" w:eastAsia="SimSun;宋体" w:hAnsi="Tahoma" w:cs="Tahoma"/>
      <w:sz w:val="16"/>
      <w:szCs w:val="16"/>
      <w:lang w:val="en-CA" w:eastAsia="zh-CN"/>
    </w:rPr>
  </w:style>
  <w:style w:type="paragraph" w:styleId="ListParagraph">
    <w:name w:val="List Paragraph"/>
    <w:basedOn w:val="Normal"/>
    <w:uiPriority w:val="34"/>
    <w:qFormat/>
    <w:rsid w:val="00173AC8"/>
    <w:pPr>
      <w:ind w:left="720"/>
      <w:contextualSpacing/>
    </w:pPr>
  </w:style>
  <w:style w:type="paragraph" w:styleId="FootnoteText">
    <w:name w:val="footnote text"/>
    <w:basedOn w:val="Normal"/>
    <w:link w:val="FootnoteTextChar"/>
    <w:uiPriority w:val="99"/>
    <w:semiHidden/>
    <w:unhideWhenUsed/>
    <w:rsid w:val="00D4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824"/>
    <w:rPr>
      <w:rFonts w:ascii="Times New Roman" w:eastAsia="SimSun;宋体" w:hAnsi="Times New Roman" w:cs="Times New Roman"/>
      <w:sz w:val="20"/>
      <w:szCs w:val="20"/>
      <w:lang w:val="en-CA" w:eastAsia="zh-CN"/>
    </w:rPr>
  </w:style>
  <w:style w:type="character" w:styleId="FootnoteReference">
    <w:name w:val="footnote reference"/>
    <w:basedOn w:val="DefaultParagraphFont"/>
    <w:uiPriority w:val="99"/>
    <w:unhideWhenUsed/>
    <w:rsid w:val="00D46824"/>
    <w:rPr>
      <w:vertAlign w:val="superscript"/>
    </w:rPr>
  </w:style>
  <w:style w:type="character" w:customStyle="1" w:styleId="FootnoteAnchor">
    <w:name w:val="Footnote Anchor"/>
    <w:rsid w:val="00886786"/>
    <w:rPr>
      <w:vertAlign w:val="superscript"/>
    </w:rPr>
  </w:style>
  <w:style w:type="paragraph" w:customStyle="1" w:styleId="Footnote">
    <w:name w:val="Footnote"/>
    <w:basedOn w:val="Normal"/>
    <w:rsid w:val="00886786"/>
  </w:style>
  <w:style w:type="paragraph" w:styleId="PlainText">
    <w:name w:val="Plain Text"/>
    <w:basedOn w:val="Normal"/>
    <w:link w:val="PlainTextChar"/>
    <w:uiPriority w:val="99"/>
    <w:semiHidden/>
    <w:unhideWhenUsed/>
    <w:rsid w:val="00AB1BB9"/>
    <w:pPr>
      <w:suppressAutoHyphens w:val="0"/>
      <w:spacing w:after="0"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AB1BB9"/>
    <w:rPr>
      <w:rFonts w:ascii="Calibri" w:eastAsiaTheme="minorHAnsi" w:hAnsi="Calibri"/>
      <w:szCs w:val="21"/>
    </w:rPr>
  </w:style>
  <w:style w:type="paragraph" w:styleId="Header">
    <w:name w:val="header"/>
    <w:basedOn w:val="Normal"/>
    <w:link w:val="HeaderChar"/>
    <w:uiPriority w:val="99"/>
    <w:unhideWhenUsed/>
    <w:rsid w:val="00BB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4"/>
    <w:rPr>
      <w:rFonts w:ascii="Times New Roman" w:eastAsia="SimSun;宋体" w:hAnsi="Times New Roman" w:cs="Times New Roman"/>
      <w:sz w:val="24"/>
      <w:szCs w:val="24"/>
      <w:lang w:val="en-CA" w:eastAsia="zh-CN"/>
    </w:rPr>
  </w:style>
  <w:style w:type="paragraph" w:styleId="Footer">
    <w:name w:val="footer"/>
    <w:basedOn w:val="Normal"/>
    <w:link w:val="FooterChar"/>
    <w:uiPriority w:val="99"/>
    <w:unhideWhenUsed/>
    <w:rsid w:val="00BB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84"/>
    <w:rPr>
      <w:rFonts w:ascii="Times New Roman" w:eastAsia="SimSun;宋体"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454">
      <w:bodyDiv w:val="1"/>
      <w:marLeft w:val="0"/>
      <w:marRight w:val="0"/>
      <w:marTop w:val="0"/>
      <w:marBottom w:val="0"/>
      <w:divBdr>
        <w:top w:val="none" w:sz="0" w:space="0" w:color="auto"/>
        <w:left w:val="none" w:sz="0" w:space="0" w:color="auto"/>
        <w:bottom w:val="none" w:sz="0" w:space="0" w:color="auto"/>
        <w:right w:val="none" w:sz="0" w:space="0" w:color="auto"/>
      </w:divBdr>
    </w:div>
    <w:div w:id="187258606">
      <w:bodyDiv w:val="1"/>
      <w:marLeft w:val="0"/>
      <w:marRight w:val="0"/>
      <w:marTop w:val="0"/>
      <w:marBottom w:val="0"/>
      <w:divBdr>
        <w:top w:val="none" w:sz="0" w:space="0" w:color="auto"/>
        <w:left w:val="none" w:sz="0" w:space="0" w:color="auto"/>
        <w:bottom w:val="none" w:sz="0" w:space="0" w:color="auto"/>
        <w:right w:val="none" w:sz="0" w:space="0" w:color="auto"/>
      </w:divBdr>
    </w:div>
    <w:div w:id="250433466">
      <w:bodyDiv w:val="1"/>
      <w:marLeft w:val="0"/>
      <w:marRight w:val="0"/>
      <w:marTop w:val="0"/>
      <w:marBottom w:val="0"/>
      <w:divBdr>
        <w:top w:val="none" w:sz="0" w:space="0" w:color="auto"/>
        <w:left w:val="none" w:sz="0" w:space="0" w:color="auto"/>
        <w:bottom w:val="none" w:sz="0" w:space="0" w:color="auto"/>
        <w:right w:val="none" w:sz="0" w:space="0" w:color="auto"/>
      </w:divBdr>
    </w:div>
    <w:div w:id="277565626">
      <w:bodyDiv w:val="1"/>
      <w:marLeft w:val="0"/>
      <w:marRight w:val="0"/>
      <w:marTop w:val="0"/>
      <w:marBottom w:val="0"/>
      <w:divBdr>
        <w:top w:val="none" w:sz="0" w:space="0" w:color="auto"/>
        <w:left w:val="none" w:sz="0" w:space="0" w:color="auto"/>
        <w:bottom w:val="none" w:sz="0" w:space="0" w:color="auto"/>
        <w:right w:val="none" w:sz="0" w:space="0" w:color="auto"/>
      </w:divBdr>
    </w:div>
    <w:div w:id="283582066">
      <w:bodyDiv w:val="1"/>
      <w:marLeft w:val="0"/>
      <w:marRight w:val="0"/>
      <w:marTop w:val="0"/>
      <w:marBottom w:val="0"/>
      <w:divBdr>
        <w:top w:val="none" w:sz="0" w:space="0" w:color="auto"/>
        <w:left w:val="none" w:sz="0" w:space="0" w:color="auto"/>
        <w:bottom w:val="none" w:sz="0" w:space="0" w:color="auto"/>
        <w:right w:val="none" w:sz="0" w:space="0" w:color="auto"/>
      </w:divBdr>
    </w:div>
    <w:div w:id="361974386">
      <w:bodyDiv w:val="1"/>
      <w:marLeft w:val="0"/>
      <w:marRight w:val="0"/>
      <w:marTop w:val="0"/>
      <w:marBottom w:val="0"/>
      <w:divBdr>
        <w:top w:val="none" w:sz="0" w:space="0" w:color="auto"/>
        <w:left w:val="none" w:sz="0" w:space="0" w:color="auto"/>
        <w:bottom w:val="none" w:sz="0" w:space="0" w:color="auto"/>
        <w:right w:val="none" w:sz="0" w:space="0" w:color="auto"/>
      </w:divBdr>
    </w:div>
    <w:div w:id="815880110">
      <w:bodyDiv w:val="1"/>
      <w:marLeft w:val="0"/>
      <w:marRight w:val="0"/>
      <w:marTop w:val="0"/>
      <w:marBottom w:val="0"/>
      <w:divBdr>
        <w:top w:val="none" w:sz="0" w:space="0" w:color="auto"/>
        <w:left w:val="none" w:sz="0" w:space="0" w:color="auto"/>
        <w:bottom w:val="none" w:sz="0" w:space="0" w:color="auto"/>
        <w:right w:val="none" w:sz="0" w:space="0" w:color="auto"/>
      </w:divBdr>
    </w:div>
    <w:div w:id="825902175">
      <w:bodyDiv w:val="1"/>
      <w:marLeft w:val="0"/>
      <w:marRight w:val="0"/>
      <w:marTop w:val="0"/>
      <w:marBottom w:val="0"/>
      <w:divBdr>
        <w:top w:val="none" w:sz="0" w:space="0" w:color="auto"/>
        <w:left w:val="none" w:sz="0" w:space="0" w:color="auto"/>
        <w:bottom w:val="none" w:sz="0" w:space="0" w:color="auto"/>
        <w:right w:val="none" w:sz="0" w:space="0" w:color="auto"/>
      </w:divBdr>
    </w:div>
    <w:div w:id="860699695">
      <w:bodyDiv w:val="1"/>
      <w:marLeft w:val="0"/>
      <w:marRight w:val="0"/>
      <w:marTop w:val="0"/>
      <w:marBottom w:val="0"/>
      <w:divBdr>
        <w:top w:val="none" w:sz="0" w:space="0" w:color="auto"/>
        <w:left w:val="none" w:sz="0" w:space="0" w:color="auto"/>
        <w:bottom w:val="none" w:sz="0" w:space="0" w:color="auto"/>
        <w:right w:val="none" w:sz="0" w:space="0" w:color="auto"/>
      </w:divBdr>
    </w:div>
    <w:div w:id="967080232">
      <w:bodyDiv w:val="1"/>
      <w:marLeft w:val="0"/>
      <w:marRight w:val="0"/>
      <w:marTop w:val="0"/>
      <w:marBottom w:val="0"/>
      <w:divBdr>
        <w:top w:val="none" w:sz="0" w:space="0" w:color="auto"/>
        <w:left w:val="none" w:sz="0" w:space="0" w:color="auto"/>
        <w:bottom w:val="none" w:sz="0" w:space="0" w:color="auto"/>
        <w:right w:val="none" w:sz="0" w:space="0" w:color="auto"/>
      </w:divBdr>
    </w:div>
    <w:div w:id="979268082">
      <w:bodyDiv w:val="1"/>
      <w:marLeft w:val="0"/>
      <w:marRight w:val="0"/>
      <w:marTop w:val="0"/>
      <w:marBottom w:val="0"/>
      <w:divBdr>
        <w:top w:val="none" w:sz="0" w:space="0" w:color="auto"/>
        <w:left w:val="none" w:sz="0" w:space="0" w:color="auto"/>
        <w:bottom w:val="none" w:sz="0" w:space="0" w:color="auto"/>
        <w:right w:val="none" w:sz="0" w:space="0" w:color="auto"/>
      </w:divBdr>
    </w:div>
    <w:div w:id="994915734">
      <w:bodyDiv w:val="1"/>
      <w:marLeft w:val="0"/>
      <w:marRight w:val="0"/>
      <w:marTop w:val="0"/>
      <w:marBottom w:val="0"/>
      <w:divBdr>
        <w:top w:val="none" w:sz="0" w:space="0" w:color="auto"/>
        <w:left w:val="none" w:sz="0" w:space="0" w:color="auto"/>
        <w:bottom w:val="none" w:sz="0" w:space="0" w:color="auto"/>
        <w:right w:val="none" w:sz="0" w:space="0" w:color="auto"/>
      </w:divBdr>
    </w:div>
    <w:div w:id="1025596163">
      <w:bodyDiv w:val="1"/>
      <w:marLeft w:val="0"/>
      <w:marRight w:val="0"/>
      <w:marTop w:val="0"/>
      <w:marBottom w:val="0"/>
      <w:divBdr>
        <w:top w:val="none" w:sz="0" w:space="0" w:color="auto"/>
        <w:left w:val="none" w:sz="0" w:space="0" w:color="auto"/>
        <w:bottom w:val="none" w:sz="0" w:space="0" w:color="auto"/>
        <w:right w:val="none" w:sz="0" w:space="0" w:color="auto"/>
      </w:divBdr>
    </w:div>
    <w:div w:id="1092703982">
      <w:bodyDiv w:val="1"/>
      <w:marLeft w:val="0"/>
      <w:marRight w:val="0"/>
      <w:marTop w:val="0"/>
      <w:marBottom w:val="0"/>
      <w:divBdr>
        <w:top w:val="none" w:sz="0" w:space="0" w:color="auto"/>
        <w:left w:val="none" w:sz="0" w:space="0" w:color="auto"/>
        <w:bottom w:val="none" w:sz="0" w:space="0" w:color="auto"/>
        <w:right w:val="none" w:sz="0" w:space="0" w:color="auto"/>
      </w:divBdr>
    </w:div>
    <w:div w:id="1249995832">
      <w:bodyDiv w:val="1"/>
      <w:marLeft w:val="0"/>
      <w:marRight w:val="0"/>
      <w:marTop w:val="0"/>
      <w:marBottom w:val="0"/>
      <w:divBdr>
        <w:top w:val="none" w:sz="0" w:space="0" w:color="auto"/>
        <w:left w:val="none" w:sz="0" w:space="0" w:color="auto"/>
        <w:bottom w:val="none" w:sz="0" w:space="0" w:color="auto"/>
        <w:right w:val="none" w:sz="0" w:space="0" w:color="auto"/>
      </w:divBdr>
    </w:div>
    <w:div w:id="1532262593">
      <w:bodyDiv w:val="1"/>
      <w:marLeft w:val="0"/>
      <w:marRight w:val="0"/>
      <w:marTop w:val="0"/>
      <w:marBottom w:val="0"/>
      <w:divBdr>
        <w:top w:val="none" w:sz="0" w:space="0" w:color="auto"/>
        <w:left w:val="none" w:sz="0" w:space="0" w:color="auto"/>
        <w:bottom w:val="none" w:sz="0" w:space="0" w:color="auto"/>
        <w:right w:val="none" w:sz="0" w:space="0" w:color="auto"/>
      </w:divBdr>
    </w:div>
    <w:div w:id="1550072023">
      <w:bodyDiv w:val="1"/>
      <w:marLeft w:val="0"/>
      <w:marRight w:val="0"/>
      <w:marTop w:val="0"/>
      <w:marBottom w:val="0"/>
      <w:divBdr>
        <w:top w:val="none" w:sz="0" w:space="0" w:color="auto"/>
        <w:left w:val="none" w:sz="0" w:space="0" w:color="auto"/>
        <w:bottom w:val="none" w:sz="0" w:space="0" w:color="auto"/>
        <w:right w:val="none" w:sz="0" w:space="0" w:color="auto"/>
      </w:divBdr>
    </w:div>
    <w:div w:id="1683625314">
      <w:bodyDiv w:val="1"/>
      <w:marLeft w:val="0"/>
      <w:marRight w:val="0"/>
      <w:marTop w:val="0"/>
      <w:marBottom w:val="0"/>
      <w:divBdr>
        <w:top w:val="none" w:sz="0" w:space="0" w:color="auto"/>
        <w:left w:val="none" w:sz="0" w:space="0" w:color="auto"/>
        <w:bottom w:val="none" w:sz="0" w:space="0" w:color="auto"/>
        <w:right w:val="none" w:sz="0" w:space="0" w:color="auto"/>
      </w:divBdr>
    </w:div>
    <w:div w:id="2041582758">
      <w:bodyDiv w:val="1"/>
      <w:marLeft w:val="0"/>
      <w:marRight w:val="0"/>
      <w:marTop w:val="0"/>
      <w:marBottom w:val="0"/>
      <w:divBdr>
        <w:top w:val="none" w:sz="0" w:space="0" w:color="auto"/>
        <w:left w:val="none" w:sz="0" w:space="0" w:color="auto"/>
        <w:bottom w:val="none" w:sz="0" w:space="0" w:color="auto"/>
        <w:right w:val="none" w:sz="0" w:space="0" w:color="auto"/>
      </w:divBdr>
    </w:div>
    <w:div w:id="209547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drorbn.net/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C1BB-8C0C-457B-8DAB-CEB4E18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 of Associate Chair for Undergraduate Studies</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Associate Chair for Undergraduate Studies</dc:title>
  <dc:creator>Eckhard</dc:creator>
  <cp:lastModifiedBy>dbirch</cp:lastModifiedBy>
  <cp:revision>2</cp:revision>
  <cp:lastPrinted>2017-10-25T15:20:00Z</cp:lastPrinted>
  <dcterms:created xsi:type="dcterms:W3CDTF">2017-10-25T15:31:00Z</dcterms:created>
  <dcterms:modified xsi:type="dcterms:W3CDTF">2017-10-25T15:31:00Z</dcterms:modified>
</cp:coreProperties>
</file>